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F6E" w:rsidRDefault="00255F6E" w:rsidP="00255F6E">
      <w:pPr>
        <w:jc w:val="center"/>
      </w:pPr>
      <w:r>
        <w:rPr>
          <w:sz w:val="34"/>
          <w:szCs w:val="34"/>
        </w:rPr>
        <w:t>Big Fish Lake Regulation Review Meeting</w:t>
      </w:r>
    </w:p>
    <w:p w:rsidR="00255F6E" w:rsidRDefault="00255F6E" w:rsidP="00255F6E">
      <w:pPr>
        <w:jc w:val="center"/>
        <w:rPr>
          <w:sz w:val="28"/>
          <w:szCs w:val="28"/>
        </w:rPr>
      </w:pPr>
      <w:r>
        <w:rPr>
          <w:sz w:val="28"/>
          <w:szCs w:val="28"/>
        </w:rPr>
        <w:t>September 26, 2018</w:t>
      </w:r>
    </w:p>
    <w:p w:rsidR="00255F6E" w:rsidRDefault="00255F6E" w:rsidP="00255F6E">
      <w:pPr>
        <w:jc w:val="center"/>
        <w:rPr>
          <w:sz w:val="28"/>
          <w:szCs w:val="28"/>
        </w:rPr>
      </w:pPr>
    </w:p>
    <w:p w:rsidR="00255F6E" w:rsidRDefault="00255F6E" w:rsidP="00255F6E">
      <w:pPr>
        <w:jc w:val="center"/>
        <w:rPr>
          <w:sz w:val="28"/>
          <w:szCs w:val="28"/>
        </w:rPr>
      </w:pPr>
      <w:r>
        <w:rPr>
          <w:sz w:val="28"/>
          <w:szCs w:val="28"/>
        </w:rPr>
        <w:t>Collegeville Township Hall, Cold Spring, MN 6-8 pm</w:t>
      </w:r>
    </w:p>
    <w:p w:rsidR="00255F6E" w:rsidRPr="002E1B6D" w:rsidRDefault="00255F6E" w:rsidP="00255F6E">
      <w:pPr>
        <w:rPr>
          <w:sz w:val="22"/>
          <w:szCs w:val="22"/>
        </w:rPr>
      </w:pPr>
    </w:p>
    <w:p w:rsidR="00255F6E" w:rsidRPr="002E1B6D" w:rsidRDefault="00255F6E" w:rsidP="00255F6E">
      <w:pPr>
        <w:rPr>
          <w:sz w:val="22"/>
          <w:szCs w:val="22"/>
        </w:rPr>
      </w:pPr>
      <w:r w:rsidRPr="002E1B6D">
        <w:rPr>
          <w:sz w:val="22"/>
          <w:szCs w:val="22"/>
        </w:rPr>
        <w:t xml:space="preserve">The DNR is proposing to </w:t>
      </w:r>
      <w:r>
        <w:rPr>
          <w:sz w:val="22"/>
          <w:szCs w:val="22"/>
        </w:rPr>
        <w:t>either extend, modify, or drop the e</w:t>
      </w:r>
      <w:r w:rsidRPr="002E1B6D">
        <w:rPr>
          <w:sz w:val="22"/>
          <w:szCs w:val="22"/>
        </w:rPr>
        <w:t xml:space="preserve">xisting </w:t>
      </w:r>
      <w:r w:rsidR="00646980">
        <w:rPr>
          <w:sz w:val="22"/>
          <w:szCs w:val="22"/>
        </w:rPr>
        <w:t xml:space="preserve">experimental </w:t>
      </w:r>
      <w:r>
        <w:rPr>
          <w:sz w:val="22"/>
          <w:szCs w:val="22"/>
        </w:rPr>
        <w:t>Northern Pike</w:t>
      </w:r>
      <w:r w:rsidRPr="002E1B6D">
        <w:rPr>
          <w:sz w:val="22"/>
          <w:szCs w:val="22"/>
        </w:rPr>
        <w:t xml:space="preserve"> regulations on </w:t>
      </w:r>
      <w:r>
        <w:rPr>
          <w:sz w:val="22"/>
          <w:szCs w:val="22"/>
        </w:rPr>
        <w:t>Big Fish</w:t>
      </w:r>
      <w:r w:rsidRPr="002E1B6D">
        <w:rPr>
          <w:sz w:val="22"/>
          <w:szCs w:val="22"/>
        </w:rPr>
        <w:t xml:space="preserve"> Lake. The current regulation</w:t>
      </w:r>
      <w:r>
        <w:rPr>
          <w:sz w:val="22"/>
          <w:szCs w:val="22"/>
        </w:rPr>
        <w:t xml:space="preserve"> is </w:t>
      </w:r>
      <w:r w:rsidRPr="002E1B6D">
        <w:rPr>
          <w:sz w:val="22"/>
          <w:szCs w:val="22"/>
        </w:rPr>
        <w:t>a 24-36 inch protected slot limit</w:t>
      </w:r>
      <w:r>
        <w:rPr>
          <w:sz w:val="22"/>
          <w:szCs w:val="22"/>
        </w:rPr>
        <w:t xml:space="preserve"> (PSL)</w:t>
      </w:r>
      <w:r w:rsidRPr="002E1B6D">
        <w:rPr>
          <w:sz w:val="22"/>
          <w:szCs w:val="22"/>
        </w:rPr>
        <w:t xml:space="preserve"> for </w:t>
      </w:r>
      <w:r>
        <w:rPr>
          <w:sz w:val="22"/>
          <w:szCs w:val="22"/>
        </w:rPr>
        <w:t>Northern Pike with a possession limit of three</w:t>
      </w:r>
      <w:r w:rsidRPr="002E1B6D">
        <w:rPr>
          <w:sz w:val="22"/>
          <w:szCs w:val="22"/>
        </w:rPr>
        <w:t xml:space="preserve">. All </w:t>
      </w:r>
      <w:r>
        <w:rPr>
          <w:sz w:val="22"/>
          <w:szCs w:val="22"/>
        </w:rPr>
        <w:t>Northern Pike</w:t>
      </w:r>
      <w:r w:rsidRPr="002E1B6D">
        <w:rPr>
          <w:sz w:val="22"/>
          <w:szCs w:val="22"/>
        </w:rPr>
        <w:t xml:space="preserve"> within the 24”-36” slot must be immediately released, with one over 36” allowed in possession.</w:t>
      </w:r>
    </w:p>
    <w:p w:rsidR="00255F6E" w:rsidRPr="002E1B6D" w:rsidRDefault="00255F6E" w:rsidP="00255F6E">
      <w:pPr>
        <w:rPr>
          <w:sz w:val="22"/>
          <w:szCs w:val="22"/>
        </w:rPr>
      </w:pPr>
    </w:p>
    <w:p w:rsidR="00255F6E" w:rsidRPr="002E1B6D" w:rsidRDefault="00255F6E" w:rsidP="00255F6E">
      <w:pPr>
        <w:rPr>
          <w:sz w:val="22"/>
          <w:szCs w:val="22"/>
        </w:rPr>
      </w:pPr>
      <w:r w:rsidRPr="002E1B6D">
        <w:rPr>
          <w:sz w:val="22"/>
          <w:szCs w:val="22"/>
        </w:rPr>
        <w:t>Anglers!!!  Please help us by indicating your preference.</w:t>
      </w:r>
    </w:p>
    <w:p w:rsidR="00255F6E" w:rsidRPr="002E1B6D" w:rsidRDefault="00255F6E" w:rsidP="00255F6E">
      <w:pPr>
        <w:rPr>
          <w:sz w:val="22"/>
          <w:szCs w:val="22"/>
        </w:rPr>
      </w:pPr>
    </w:p>
    <w:p w:rsidR="00255F6E" w:rsidRPr="002E1B6D" w:rsidRDefault="00255F6E" w:rsidP="00255F6E">
      <w:pPr>
        <w:tabs>
          <w:tab w:val="left" w:pos="720"/>
          <w:tab w:val="left" w:pos="1440"/>
        </w:tabs>
        <w:ind w:left="1440" w:hanging="1440"/>
        <w:rPr>
          <w:sz w:val="22"/>
          <w:szCs w:val="22"/>
        </w:rPr>
      </w:pPr>
      <w:r w:rsidRPr="002E1B6D">
        <w:rPr>
          <w:sz w:val="22"/>
          <w:szCs w:val="22"/>
        </w:rPr>
        <w:t>______</w:t>
      </w:r>
      <w:r w:rsidRPr="002E1B6D">
        <w:rPr>
          <w:sz w:val="22"/>
          <w:szCs w:val="22"/>
        </w:rPr>
        <w:tab/>
        <w:t>Convert existing Experimental regulation into</w:t>
      </w:r>
      <w:r w:rsidR="00CA38D3">
        <w:rPr>
          <w:sz w:val="22"/>
          <w:szCs w:val="22"/>
        </w:rPr>
        <w:t xml:space="preserve"> a</w:t>
      </w:r>
      <w:r w:rsidRPr="002E1B6D">
        <w:rPr>
          <w:sz w:val="22"/>
          <w:szCs w:val="22"/>
        </w:rPr>
        <w:t xml:space="preserve"> Special regulation.</w:t>
      </w:r>
    </w:p>
    <w:p w:rsidR="00255F6E" w:rsidRPr="002E1B6D" w:rsidRDefault="00255F6E" w:rsidP="00255F6E">
      <w:pPr>
        <w:tabs>
          <w:tab w:val="left" w:pos="720"/>
          <w:tab w:val="left" w:pos="1440"/>
        </w:tabs>
        <w:ind w:left="1440" w:hanging="1440"/>
        <w:rPr>
          <w:sz w:val="22"/>
          <w:szCs w:val="22"/>
        </w:rPr>
      </w:pPr>
    </w:p>
    <w:p w:rsidR="00255F6E" w:rsidRPr="002E1B6D" w:rsidRDefault="00255F6E" w:rsidP="00255F6E">
      <w:pPr>
        <w:tabs>
          <w:tab w:val="left" w:pos="720"/>
          <w:tab w:val="left" w:pos="1440"/>
        </w:tabs>
        <w:ind w:left="1440" w:hanging="1440"/>
        <w:rPr>
          <w:sz w:val="22"/>
          <w:szCs w:val="22"/>
        </w:rPr>
      </w:pPr>
      <w:bookmarkStart w:id="0" w:name="_GoBack"/>
      <w:bookmarkEnd w:id="0"/>
      <w:r w:rsidRPr="002E1B6D">
        <w:rPr>
          <w:sz w:val="22"/>
          <w:szCs w:val="22"/>
        </w:rPr>
        <w:t>______</w:t>
      </w:r>
      <w:r w:rsidRPr="002E1B6D">
        <w:rPr>
          <w:sz w:val="22"/>
          <w:szCs w:val="22"/>
        </w:rPr>
        <w:tab/>
        <w:t xml:space="preserve">Revert current Experimental </w:t>
      </w:r>
      <w:r>
        <w:rPr>
          <w:sz w:val="22"/>
          <w:szCs w:val="22"/>
        </w:rPr>
        <w:t>Northern Pike</w:t>
      </w:r>
      <w:r w:rsidRPr="002E1B6D">
        <w:rPr>
          <w:sz w:val="22"/>
          <w:szCs w:val="22"/>
        </w:rPr>
        <w:t xml:space="preserve"> regulation, back to the </w:t>
      </w:r>
      <w:r>
        <w:rPr>
          <w:sz w:val="22"/>
          <w:szCs w:val="22"/>
        </w:rPr>
        <w:t xml:space="preserve">current </w:t>
      </w:r>
      <w:r w:rsidR="00F773CC">
        <w:rPr>
          <w:sz w:val="22"/>
          <w:szCs w:val="22"/>
        </w:rPr>
        <w:t>statewide</w:t>
      </w:r>
      <w:r>
        <w:rPr>
          <w:sz w:val="22"/>
          <w:szCs w:val="22"/>
        </w:rPr>
        <w:t xml:space="preserve"> regulation.</w:t>
      </w:r>
    </w:p>
    <w:p w:rsidR="00255F6E" w:rsidRDefault="00255F6E" w:rsidP="00255F6E">
      <w:pPr>
        <w:tabs>
          <w:tab w:val="left" w:pos="720"/>
          <w:tab w:val="left" w:pos="1440"/>
        </w:tabs>
        <w:ind w:left="1440" w:hanging="1440"/>
        <w:rPr>
          <w:sz w:val="22"/>
          <w:szCs w:val="22"/>
        </w:rPr>
      </w:pPr>
    </w:p>
    <w:p w:rsidR="00255F6E" w:rsidRPr="002E1B6D" w:rsidRDefault="00255F6E" w:rsidP="00255F6E">
      <w:pPr>
        <w:tabs>
          <w:tab w:val="left" w:pos="720"/>
          <w:tab w:val="left" w:pos="1440"/>
        </w:tabs>
        <w:ind w:left="1440" w:hanging="1440"/>
        <w:rPr>
          <w:sz w:val="22"/>
          <w:szCs w:val="22"/>
        </w:rPr>
      </w:pPr>
      <w:r w:rsidRPr="002E1B6D">
        <w:rPr>
          <w:sz w:val="22"/>
          <w:szCs w:val="22"/>
        </w:rPr>
        <w:t>______</w:t>
      </w:r>
      <w:r w:rsidRPr="002E1B6D">
        <w:rPr>
          <w:sz w:val="22"/>
          <w:szCs w:val="22"/>
        </w:rPr>
        <w:tab/>
        <w:t>Other (write in comments)</w:t>
      </w:r>
      <w:r>
        <w:rPr>
          <w:sz w:val="22"/>
          <w:szCs w:val="22"/>
        </w:rPr>
        <w:t>:</w:t>
      </w:r>
      <w:r w:rsidRPr="002E1B6D">
        <w:rPr>
          <w:sz w:val="22"/>
          <w:szCs w:val="22"/>
        </w:rPr>
        <w:t xml:space="preserve"> ___________________________________________</w:t>
      </w:r>
      <w:r w:rsidRPr="008065C5">
        <w:rPr>
          <w:sz w:val="22"/>
          <w:szCs w:val="22"/>
          <w:u w:val="single"/>
        </w:rPr>
        <w:tab/>
      </w:r>
    </w:p>
    <w:p w:rsidR="00255F6E" w:rsidRPr="002E1B6D" w:rsidRDefault="00AE07CA" w:rsidP="00255F6E">
      <w:pPr>
        <w:rPr>
          <w:sz w:val="22"/>
          <w:szCs w:val="22"/>
        </w:rPr>
      </w:pPr>
      <w:r>
        <w:rPr>
          <w:sz w:val="22"/>
          <w:szCs w:val="22"/>
        </w:rPr>
        <w:tab/>
      </w:r>
      <w:r w:rsidR="00255F6E" w:rsidRPr="002E1B6D">
        <w:rPr>
          <w:sz w:val="22"/>
          <w:szCs w:val="22"/>
        </w:rPr>
        <w:tab/>
      </w:r>
    </w:p>
    <w:p w:rsidR="00255F6E" w:rsidRPr="002E1B6D" w:rsidRDefault="00255F6E" w:rsidP="00255F6E">
      <w:pPr>
        <w:rPr>
          <w:sz w:val="22"/>
          <w:szCs w:val="22"/>
        </w:rPr>
      </w:pPr>
      <w:r w:rsidRPr="002E1B6D">
        <w:rPr>
          <w:sz w:val="22"/>
          <w:szCs w:val="22"/>
        </w:rPr>
        <w:tab/>
      </w:r>
      <w:r w:rsidRPr="002E1B6D">
        <w:rPr>
          <w:sz w:val="22"/>
          <w:szCs w:val="22"/>
        </w:rPr>
        <w:tab/>
        <w:t>__________________________________________________________________</w:t>
      </w:r>
    </w:p>
    <w:p w:rsidR="00255F6E" w:rsidRPr="002E1B6D" w:rsidRDefault="00255F6E" w:rsidP="00255F6E">
      <w:pPr>
        <w:rPr>
          <w:sz w:val="22"/>
          <w:szCs w:val="22"/>
        </w:rPr>
      </w:pPr>
    </w:p>
    <w:p w:rsidR="00255F6E" w:rsidRPr="002E1B6D" w:rsidRDefault="00255F6E" w:rsidP="00255F6E">
      <w:pPr>
        <w:rPr>
          <w:sz w:val="22"/>
          <w:szCs w:val="22"/>
        </w:rPr>
      </w:pPr>
      <w:r w:rsidRPr="002E1B6D">
        <w:rPr>
          <w:sz w:val="22"/>
          <w:szCs w:val="22"/>
        </w:rPr>
        <w:tab/>
      </w:r>
      <w:r w:rsidRPr="002E1B6D">
        <w:rPr>
          <w:sz w:val="22"/>
          <w:szCs w:val="22"/>
        </w:rPr>
        <w:tab/>
        <w:t>__________________________________________________________________</w:t>
      </w:r>
    </w:p>
    <w:p w:rsidR="00255F6E" w:rsidRPr="002E1B6D" w:rsidRDefault="00255F6E" w:rsidP="00255F6E">
      <w:pPr>
        <w:rPr>
          <w:sz w:val="22"/>
          <w:szCs w:val="22"/>
        </w:rPr>
      </w:pPr>
      <w:r w:rsidRPr="002E1B6D">
        <w:rPr>
          <w:sz w:val="22"/>
          <w:szCs w:val="22"/>
        </w:rPr>
        <w:tab/>
      </w:r>
      <w:r w:rsidRPr="002E1B6D">
        <w:rPr>
          <w:sz w:val="22"/>
          <w:szCs w:val="22"/>
        </w:rPr>
        <w:tab/>
      </w:r>
    </w:p>
    <w:p w:rsidR="00255F6E" w:rsidRDefault="00255F6E" w:rsidP="00255F6E">
      <w:pPr>
        <w:rPr>
          <w:sz w:val="22"/>
          <w:szCs w:val="22"/>
        </w:rPr>
      </w:pPr>
    </w:p>
    <w:p w:rsidR="00255F6E" w:rsidRPr="002E1B6D" w:rsidRDefault="00255F6E" w:rsidP="00255F6E">
      <w:pPr>
        <w:rPr>
          <w:sz w:val="22"/>
          <w:szCs w:val="22"/>
        </w:rPr>
      </w:pPr>
    </w:p>
    <w:p w:rsidR="00255F6E" w:rsidRPr="002E1B6D" w:rsidRDefault="00255F6E" w:rsidP="00255F6E">
      <w:pPr>
        <w:rPr>
          <w:sz w:val="22"/>
          <w:szCs w:val="22"/>
        </w:rPr>
      </w:pPr>
      <w:r w:rsidRPr="002E1B6D">
        <w:rPr>
          <w:b/>
          <w:bCs/>
          <w:sz w:val="22"/>
          <w:szCs w:val="22"/>
        </w:rPr>
        <w:t>Optional Survey Questions</w:t>
      </w:r>
      <w:r w:rsidRPr="002E1B6D">
        <w:rPr>
          <w:sz w:val="22"/>
          <w:szCs w:val="22"/>
        </w:rPr>
        <w:t>:</w:t>
      </w:r>
    </w:p>
    <w:p w:rsidR="00255F6E" w:rsidRPr="002E1B6D" w:rsidRDefault="00255F6E" w:rsidP="00255F6E">
      <w:pPr>
        <w:rPr>
          <w:sz w:val="22"/>
          <w:szCs w:val="22"/>
        </w:rPr>
      </w:pPr>
    </w:p>
    <w:p w:rsidR="00255F6E" w:rsidRPr="002E1B6D" w:rsidRDefault="00255F6E" w:rsidP="00255F6E">
      <w:pPr>
        <w:rPr>
          <w:sz w:val="22"/>
          <w:szCs w:val="22"/>
        </w:rPr>
      </w:pPr>
      <w:r w:rsidRPr="002E1B6D">
        <w:rPr>
          <w:sz w:val="22"/>
          <w:szCs w:val="22"/>
        </w:rPr>
        <w:t>Name ________________________________________________________________________</w:t>
      </w:r>
    </w:p>
    <w:p w:rsidR="00255F6E" w:rsidRPr="002E1B6D" w:rsidRDefault="00255F6E" w:rsidP="00255F6E">
      <w:pPr>
        <w:rPr>
          <w:sz w:val="22"/>
          <w:szCs w:val="22"/>
        </w:rPr>
      </w:pPr>
    </w:p>
    <w:p w:rsidR="00255F6E" w:rsidRPr="002E1B6D" w:rsidRDefault="00255F6E" w:rsidP="00255F6E">
      <w:pPr>
        <w:rPr>
          <w:sz w:val="22"/>
          <w:szCs w:val="22"/>
        </w:rPr>
      </w:pPr>
      <w:r w:rsidRPr="002E1B6D">
        <w:rPr>
          <w:sz w:val="22"/>
          <w:szCs w:val="22"/>
        </w:rPr>
        <w:t>Address ______________________________________________________________________</w:t>
      </w:r>
    </w:p>
    <w:p w:rsidR="00255F6E" w:rsidRPr="002E1B6D" w:rsidRDefault="00255F6E" w:rsidP="00255F6E">
      <w:pPr>
        <w:rPr>
          <w:sz w:val="22"/>
          <w:szCs w:val="22"/>
        </w:rPr>
      </w:pPr>
    </w:p>
    <w:p w:rsidR="00255F6E" w:rsidRPr="002E1B6D" w:rsidRDefault="00255F6E" w:rsidP="00255F6E">
      <w:pPr>
        <w:rPr>
          <w:sz w:val="22"/>
          <w:szCs w:val="22"/>
        </w:rPr>
      </w:pPr>
      <w:r w:rsidRPr="002E1B6D">
        <w:rPr>
          <w:sz w:val="22"/>
          <w:szCs w:val="22"/>
        </w:rPr>
        <w:t>Telephone ____________________________________________________________________</w:t>
      </w:r>
    </w:p>
    <w:p w:rsidR="00255F6E" w:rsidRPr="002E1B6D" w:rsidRDefault="00255F6E" w:rsidP="00255F6E">
      <w:pPr>
        <w:rPr>
          <w:sz w:val="22"/>
          <w:szCs w:val="22"/>
        </w:rPr>
      </w:pPr>
    </w:p>
    <w:p w:rsidR="00255F6E" w:rsidRPr="002E1B6D" w:rsidRDefault="00255F6E" w:rsidP="00255F6E">
      <w:pPr>
        <w:pStyle w:val="Heading1"/>
        <w:rPr>
          <w:sz w:val="22"/>
          <w:szCs w:val="22"/>
        </w:rPr>
      </w:pPr>
      <w:r w:rsidRPr="002E1B6D">
        <w:rPr>
          <w:sz w:val="22"/>
          <w:szCs w:val="22"/>
        </w:rPr>
        <w:t>Lakeshore resident? ______</w:t>
      </w:r>
    </w:p>
    <w:p w:rsidR="00255F6E" w:rsidRPr="002E1B6D" w:rsidRDefault="00255F6E" w:rsidP="00255F6E">
      <w:pPr>
        <w:rPr>
          <w:sz w:val="22"/>
          <w:szCs w:val="22"/>
        </w:rPr>
      </w:pPr>
    </w:p>
    <w:p w:rsidR="00255F6E" w:rsidRPr="002E1B6D" w:rsidRDefault="00255F6E" w:rsidP="00255F6E">
      <w:pPr>
        <w:rPr>
          <w:sz w:val="22"/>
          <w:szCs w:val="22"/>
        </w:rPr>
      </w:pPr>
      <w:r w:rsidRPr="002E1B6D">
        <w:rPr>
          <w:sz w:val="22"/>
          <w:szCs w:val="22"/>
        </w:rPr>
        <w:t xml:space="preserve">Please leave this survey form at the meeting or mail to: DNR Fisheries, 1035 South Benton Drive, Sauk Rapids, MN 56379 </w:t>
      </w:r>
      <w:r w:rsidRPr="002E1B6D">
        <w:rPr>
          <w:b/>
          <w:bCs/>
          <w:sz w:val="22"/>
          <w:szCs w:val="22"/>
        </w:rPr>
        <w:t xml:space="preserve">by October </w:t>
      </w:r>
      <w:r>
        <w:rPr>
          <w:b/>
          <w:bCs/>
          <w:sz w:val="22"/>
          <w:szCs w:val="22"/>
        </w:rPr>
        <w:t>12</w:t>
      </w:r>
      <w:r w:rsidRPr="002E1B6D">
        <w:rPr>
          <w:b/>
          <w:bCs/>
          <w:sz w:val="22"/>
          <w:szCs w:val="22"/>
        </w:rPr>
        <w:t>, 201</w:t>
      </w:r>
      <w:r>
        <w:rPr>
          <w:b/>
          <w:bCs/>
          <w:sz w:val="22"/>
          <w:szCs w:val="22"/>
        </w:rPr>
        <w:t>8</w:t>
      </w:r>
      <w:r w:rsidRPr="002E1B6D">
        <w:rPr>
          <w:b/>
          <w:bCs/>
          <w:sz w:val="22"/>
          <w:szCs w:val="22"/>
        </w:rPr>
        <w:t xml:space="preserve">. </w:t>
      </w:r>
      <w:r w:rsidRPr="002E1B6D">
        <w:rPr>
          <w:sz w:val="22"/>
          <w:szCs w:val="22"/>
        </w:rPr>
        <w:t>Telephone 320-223-7867</w:t>
      </w:r>
    </w:p>
    <w:p w:rsidR="00255F6E" w:rsidRPr="002E1B6D" w:rsidRDefault="00255F6E" w:rsidP="00255F6E">
      <w:pPr>
        <w:rPr>
          <w:sz w:val="22"/>
          <w:szCs w:val="22"/>
        </w:rPr>
      </w:pPr>
      <w:r w:rsidRPr="002E1B6D">
        <w:rPr>
          <w:sz w:val="22"/>
          <w:szCs w:val="22"/>
        </w:rPr>
        <w:t xml:space="preserve">e-mail: </w:t>
      </w:r>
      <w:hyperlink r:id="rId6" w:history="1">
        <w:r w:rsidRPr="002E1B6D">
          <w:rPr>
            <w:rStyle w:val="Hyperlink"/>
            <w:sz w:val="22"/>
            <w:szCs w:val="22"/>
          </w:rPr>
          <w:t>joe.stewig@state.mn.us</w:t>
        </w:r>
      </w:hyperlink>
      <w:r w:rsidRPr="002E1B6D">
        <w:rPr>
          <w:sz w:val="22"/>
          <w:szCs w:val="22"/>
        </w:rPr>
        <w:t>.</w:t>
      </w:r>
    </w:p>
    <w:p w:rsidR="00255F6E" w:rsidRPr="002E1B6D" w:rsidRDefault="00255F6E" w:rsidP="00255F6E">
      <w:pPr>
        <w:rPr>
          <w:sz w:val="22"/>
          <w:szCs w:val="22"/>
        </w:rPr>
      </w:pPr>
    </w:p>
    <w:p w:rsidR="00896AEB" w:rsidRDefault="00255F6E" w:rsidP="0012431B">
      <w:pPr>
        <w:pStyle w:val="Title"/>
        <w:rPr>
          <w:b w:val="0"/>
          <w:bCs w:val="0"/>
        </w:rPr>
      </w:pPr>
      <w:r w:rsidRPr="002E1B6D">
        <w:rPr>
          <w:sz w:val="22"/>
          <w:szCs w:val="22"/>
        </w:rPr>
        <w:br w:type="page"/>
      </w:r>
    </w:p>
    <w:p w:rsidR="005058C1" w:rsidRPr="00646980" w:rsidRDefault="00646980" w:rsidP="0012431B">
      <w:pPr>
        <w:pStyle w:val="Title"/>
        <w:rPr>
          <w:bCs w:val="0"/>
        </w:rPr>
      </w:pPr>
      <w:r w:rsidRPr="00646980">
        <w:rPr>
          <w:bCs w:val="0"/>
        </w:rPr>
        <w:lastRenderedPageBreak/>
        <w:t>Current status of the Northern Pike population</w:t>
      </w:r>
    </w:p>
    <w:p w:rsidR="0012431B" w:rsidRDefault="0012431B">
      <w:pPr>
        <w:pStyle w:val="Title"/>
        <w:jc w:val="left"/>
        <w:rPr>
          <w:b w:val="0"/>
          <w:bCs w:val="0"/>
        </w:rPr>
      </w:pPr>
    </w:p>
    <w:p w:rsidR="0012431B" w:rsidRDefault="0012431B" w:rsidP="0012431B">
      <w:pPr>
        <w:pStyle w:val="Title"/>
        <w:jc w:val="left"/>
        <w:rPr>
          <w:b w:val="0"/>
          <w:bCs w:val="0"/>
        </w:rPr>
      </w:pPr>
      <w:r>
        <w:rPr>
          <w:b w:val="0"/>
          <w:bCs w:val="0"/>
        </w:rPr>
        <w:t>The Northern Pike population in Big Fish Lake has always been high (Figure 1) and the average length has been small (&lt; 19 inches).  Research has indicated that the use of protected size limits (PSL) have had success in improving the size structure of Northern Pike in systems that have high numbers of “hammer handle” pike.  Since Big Fish Lake fit the criteria for a PSL an experimental 24 – 36 inch protected slot was implemented March 1, 2005.  Ice out sampling was conducted in 2005</w:t>
      </w:r>
      <w:r w:rsidR="00646980">
        <w:rPr>
          <w:b w:val="0"/>
          <w:bCs w:val="0"/>
        </w:rPr>
        <w:t>, 2010</w:t>
      </w:r>
      <w:r>
        <w:rPr>
          <w:b w:val="0"/>
          <w:bCs w:val="0"/>
        </w:rPr>
        <w:t xml:space="preserve"> and 2015 while gill net surveys were conducted in 2005, 2010, and 2015.  Based on spring Ice-out sampling it appears as though the regulation has had little effect on the Northern Pike population (Figure 2).  Ice-out survey results show that all size structure indicators (TL, </w:t>
      </w:r>
      <w:r w:rsidR="00646980">
        <w:rPr>
          <w:b w:val="0"/>
          <w:bCs w:val="0"/>
        </w:rPr>
        <w:t>%</w:t>
      </w:r>
      <w:r w:rsidR="00C16906">
        <w:rPr>
          <w:b w:val="0"/>
          <w:bCs w:val="0"/>
        </w:rPr>
        <w:t xml:space="preserve"> &gt; 21</w:t>
      </w:r>
      <w:r w:rsidR="00646980">
        <w:rPr>
          <w:b w:val="0"/>
          <w:bCs w:val="0"/>
        </w:rPr>
        <w:t>”</w:t>
      </w:r>
      <w:r>
        <w:rPr>
          <w:b w:val="0"/>
          <w:bCs w:val="0"/>
        </w:rPr>
        <w:t xml:space="preserve">, </w:t>
      </w:r>
      <w:r w:rsidR="00646980">
        <w:rPr>
          <w:b w:val="0"/>
          <w:bCs w:val="0"/>
        </w:rPr>
        <w:t>%</w:t>
      </w:r>
      <w:r w:rsidR="00C16906">
        <w:rPr>
          <w:b w:val="0"/>
          <w:bCs w:val="0"/>
        </w:rPr>
        <w:t xml:space="preserve"> &gt; 24</w:t>
      </w:r>
      <w:r w:rsidR="00646980">
        <w:rPr>
          <w:b w:val="0"/>
          <w:bCs w:val="0"/>
        </w:rPr>
        <w:t>”</w:t>
      </w:r>
      <w:r>
        <w:rPr>
          <w:b w:val="0"/>
          <w:bCs w:val="0"/>
        </w:rPr>
        <w:t xml:space="preserve">, and </w:t>
      </w:r>
      <w:r w:rsidR="00646980">
        <w:rPr>
          <w:b w:val="0"/>
          <w:bCs w:val="0"/>
        </w:rPr>
        <w:t>%</w:t>
      </w:r>
      <w:r w:rsidR="00C16906">
        <w:rPr>
          <w:b w:val="0"/>
          <w:bCs w:val="0"/>
        </w:rPr>
        <w:t xml:space="preserve"> &gt; 30</w:t>
      </w:r>
      <w:r w:rsidR="00646980">
        <w:rPr>
          <w:b w:val="0"/>
          <w:bCs w:val="0"/>
        </w:rPr>
        <w:t>”</w:t>
      </w:r>
      <w:r>
        <w:rPr>
          <w:b w:val="0"/>
          <w:bCs w:val="0"/>
        </w:rPr>
        <w:t xml:space="preserve">) have decreased.  </w:t>
      </w:r>
      <w:r w:rsidR="00C16906">
        <w:rPr>
          <w:b w:val="0"/>
          <w:bCs w:val="0"/>
        </w:rPr>
        <w:t>Whereas, the</w:t>
      </w:r>
      <w:r>
        <w:rPr>
          <w:b w:val="0"/>
          <w:bCs w:val="0"/>
        </w:rPr>
        <w:t xml:space="preserve"> results from the summer gill net and trap net surveys show</w:t>
      </w:r>
      <w:r w:rsidR="00C16906">
        <w:rPr>
          <w:b w:val="0"/>
          <w:bCs w:val="0"/>
        </w:rPr>
        <w:t xml:space="preserve">s minimal improvement in the </w:t>
      </w:r>
      <w:r w:rsidR="00646980">
        <w:rPr>
          <w:b w:val="0"/>
          <w:bCs w:val="0"/>
        </w:rPr>
        <w:t>%</w:t>
      </w:r>
      <w:r w:rsidR="00C16906">
        <w:rPr>
          <w:b w:val="0"/>
          <w:bCs w:val="0"/>
        </w:rPr>
        <w:t xml:space="preserve"> &gt; 21</w:t>
      </w:r>
      <w:r w:rsidR="00646980">
        <w:rPr>
          <w:b w:val="0"/>
          <w:bCs w:val="0"/>
        </w:rPr>
        <w:t>”, %</w:t>
      </w:r>
      <w:r w:rsidR="00C16906">
        <w:rPr>
          <w:b w:val="0"/>
          <w:bCs w:val="0"/>
        </w:rPr>
        <w:t xml:space="preserve"> &gt; 24</w:t>
      </w:r>
      <w:r w:rsidR="00646980">
        <w:rPr>
          <w:b w:val="0"/>
          <w:bCs w:val="0"/>
        </w:rPr>
        <w:t>”, and %</w:t>
      </w:r>
      <w:r w:rsidR="00C16906">
        <w:rPr>
          <w:b w:val="0"/>
          <w:bCs w:val="0"/>
        </w:rPr>
        <w:t xml:space="preserve"> &gt; 30</w:t>
      </w:r>
      <w:r w:rsidR="00646980">
        <w:rPr>
          <w:b w:val="0"/>
          <w:bCs w:val="0"/>
        </w:rPr>
        <w:t>”</w:t>
      </w:r>
      <w:r>
        <w:rPr>
          <w:b w:val="0"/>
          <w:bCs w:val="0"/>
        </w:rPr>
        <w:t xml:space="preserve"> while the average length has decreased slightly (Figure 3).</w:t>
      </w:r>
      <w:r w:rsidR="00C16906">
        <w:rPr>
          <w:b w:val="0"/>
          <w:bCs w:val="0"/>
        </w:rPr>
        <w:t xml:space="preserve">  It appears as though we could probably achieve similar results by reverting to the “new” statewide Northern Pike zone regulations</w:t>
      </w:r>
    </w:p>
    <w:p w:rsidR="0012431B" w:rsidRDefault="0012431B">
      <w:pPr>
        <w:pStyle w:val="Title"/>
        <w:jc w:val="left"/>
        <w:rPr>
          <w:b w:val="0"/>
          <w:bCs w:val="0"/>
        </w:rPr>
      </w:pPr>
    </w:p>
    <w:p w:rsidR="00AE07CA" w:rsidRDefault="00AE07CA">
      <w:pPr>
        <w:pStyle w:val="Title"/>
        <w:jc w:val="left"/>
        <w:rPr>
          <w:b w:val="0"/>
          <w:bCs w:val="0"/>
        </w:rPr>
      </w:pPr>
    </w:p>
    <w:p w:rsidR="00917610" w:rsidRDefault="00917610" w:rsidP="00917610">
      <w:pPr>
        <w:pStyle w:val="Title"/>
        <w:rPr>
          <w:b w:val="0"/>
          <w:bCs w:val="0"/>
        </w:rPr>
      </w:pPr>
      <w:r>
        <w:rPr>
          <w:noProof/>
        </w:rPr>
        <w:drawing>
          <wp:inline distT="0" distB="0" distL="0" distR="0" wp14:anchorId="3146022C" wp14:editId="622337E2">
            <wp:extent cx="5373384" cy="2650732"/>
            <wp:effectExtent l="0" t="0" r="17780" b="1651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17610" w:rsidRDefault="00917610">
      <w:pPr>
        <w:pStyle w:val="Title"/>
        <w:jc w:val="left"/>
        <w:rPr>
          <w:b w:val="0"/>
          <w:bCs w:val="0"/>
        </w:rPr>
      </w:pPr>
    </w:p>
    <w:p w:rsidR="00917610" w:rsidRDefault="00917610">
      <w:pPr>
        <w:pStyle w:val="Title"/>
        <w:jc w:val="left"/>
        <w:rPr>
          <w:b w:val="0"/>
          <w:bCs w:val="0"/>
        </w:rPr>
      </w:pPr>
      <w:r w:rsidRPr="00917610">
        <w:rPr>
          <w:bCs w:val="0"/>
        </w:rPr>
        <w:t>Figure 1.</w:t>
      </w:r>
      <w:r>
        <w:rPr>
          <w:b w:val="0"/>
          <w:bCs w:val="0"/>
        </w:rPr>
        <w:t xml:space="preserve">  Historic Northern Pike gill net catches for Big Fish Lake (1980 – 2015) </w:t>
      </w:r>
    </w:p>
    <w:p w:rsidR="005058C1" w:rsidRDefault="00A466DF" w:rsidP="00CE498A">
      <w:pPr>
        <w:pStyle w:val="Title"/>
        <w:rPr>
          <w:b w:val="0"/>
          <w:bCs w:val="0"/>
        </w:rPr>
      </w:pPr>
      <w:r>
        <w:rPr>
          <w:noProof/>
        </w:rPr>
        <w:lastRenderedPageBreak/>
        <w:drawing>
          <wp:inline distT="0" distB="0" distL="0" distR="0" wp14:anchorId="1362C5B2" wp14:editId="7CA5DDAF">
            <wp:extent cx="5064125" cy="3154166"/>
            <wp:effectExtent l="0" t="0" r="3175" b="825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E498A" w:rsidRDefault="00CE498A" w:rsidP="00CE498A">
      <w:pPr>
        <w:pStyle w:val="Title"/>
        <w:rPr>
          <w:b w:val="0"/>
          <w:bCs w:val="0"/>
        </w:rPr>
      </w:pPr>
    </w:p>
    <w:p w:rsidR="00CE498A" w:rsidRDefault="00CE498A" w:rsidP="00CE498A">
      <w:pPr>
        <w:pStyle w:val="Title"/>
        <w:jc w:val="left"/>
        <w:rPr>
          <w:b w:val="0"/>
          <w:bCs w:val="0"/>
        </w:rPr>
      </w:pPr>
      <w:r w:rsidRPr="00CE498A">
        <w:rPr>
          <w:bCs w:val="0"/>
        </w:rPr>
        <w:t xml:space="preserve">Figure </w:t>
      </w:r>
      <w:r w:rsidR="00917610">
        <w:rPr>
          <w:bCs w:val="0"/>
        </w:rPr>
        <w:t>2</w:t>
      </w:r>
      <w:r w:rsidRPr="00CE498A">
        <w:rPr>
          <w:bCs w:val="0"/>
        </w:rPr>
        <w:t>.</w:t>
      </w:r>
      <w:r>
        <w:rPr>
          <w:b w:val="0"/>
          <w:bCs w:val="0"/>
        </w:rPr>
        <w:t xml:space="preserve">  Length frequency of </w:t>
      </w:r>
      <w:r w:rsidR="00483E0D">
        <w:rPr>
          <w:b w:val="0"/>
          <w:bCs w:val="0"/>
        </w:rPr>
        <w:t xml:space="preserve">Northern Pike </w:t>
      </w:r>
      <w:r>
        <w:rPr>
          <w:b w:val="0"/>
          <w:bCs w:val="0"/>
        </w:rPr>
        <w:t xml:space="preserve">collected </w:t>
      </w:r>
      <w:r w:rsidR="00483E0D">
        <w:rPr>
          <w:b w:val="0"/>
          <w:bCs w:val="0"/>
        </w:rPr>
        <w:t>during Ice-Out netting on Big Fish Lake pre- (2005) and post-regulation (2015)</w:t>
      </w:r>
      <w:r>
        <w:rPr>
          <w:b w:val="0"/>
          <w:bCs w:val="0"/>
        </w:rPr>
        <w:t>.</w:t>
      </w:r>
    </w:p>
    <w:p w:rsidR="00576E9B" w:rsidRDefault="00576E9B" w:rsidP="00CE498A">
      <w:pPr>
        <w:pStyle w:val="Title"/>
        <w:jc w:val="left"/>
        <w:rPr>
          <w:b w:val="0"/>
          <w:bCs w:val="0"/>
        </w:rPr>
      </w:pPr>
    </w:p>
    <w:p w:rsidR="00AE07CA" w:rsidRDefault="00AE07CA" w:rsidP="00CE498A">
      <w:pPr>
        <w:pStyle w:val="Title"/>
        <w:jc w:val="left"/>
        <w:rPr>
          <w:b w:val="0"/>
          <w:bCs w:val="0"/>
        </w:rPr>
      </w:pPr>
    </w:p>
    <w:p w:rsidR="00576E9B" w:rsidRDefault="00A466DF" w:rsidP="00576E9B">
      <w:pPr>
        <w:pStyle w:val="Title"/>
        <w:rPr>
          <w:b w:val="0"/>
          <w:bCs w:val="0"/>
        </w:rPr>
      </w:pPr>
      <w:r>
        <w:rPr>
          <w:noProof/>
        </w:rPr>
        <w:drawing>
          <wp:inline distT="0" distB="0" distL="0" distR="0" wp14:anchorId="01621A03" wp14:editId="2C252E0A">
            <wp:extent cx="5118029" cy="3277456"/>
            <wp:effectExtent l="0" t="0" r="6985" b="1841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466DF" w:rsidRPr="00A466DF" w:rsidRDefault="00A466DF" w:rsidP="00576E9B">
      <w:pPr>
        <w:pStyle w:val="Title"/>
        <w:jc w:val="left"/>
        <w:rPr>
          <w:b w:val="0"/>
          <w:bCs w:val="0"/>
        </w:rPr>
      </w:pPr>
    </w:p>
    <w:p w:rsidR="00A466DF" w:rsidRDefault="00A466DF" w:rsidP="00A466DF">
      <w:pPr>
        <w:pStyle w:val="Title"/>
        <w:jc w:val="left"/>
        <w:rPr>
          <w:b w:val="0"/>
          <w:bCs w:val="0"/>
        </w:rPr>
      </w:pPr>
      <w:r w:rsidRPr="00CE498A">
        <w:rPr>
          <w:bCs w:val="0"/>
        </w:rPr>
        <w:t xml:space="preserve">Figure </w:t>
      </w:r>
      <w:r w:rsidR="00917610">
        <w:rPr>
          <w:bCs w:val="0"/>
        </w:rPr>
        <w:t>3</w:t>
      </w:r>
      <w:r w:rsidRPr="00CE498A">
        <w:rPr>
          <w:bCs w:val="0"/>
        </w:rPr>
        <w:t>.</w:t>
      </w:r>
      <w:r>
        <w:rPr>
          <w:b w:val="0"/>
          <w:bCs w:val="0"/>
        </w:rPr>
        <w:t xml:space="preserve">  Length frequency of Northern Pike collected during </w:t>
      </w:r>
      <w:r w:rsidR="00B42384">
        <w:rPr>
          <w:b w:val="0"/>
          <w:bCs w:val="0"/>
        </w:rPr>
        <w:t>summer gill net and trap net surveys o</w:t>
      </w:r>
      <w:r>
        <w:rPr>
          <w:b w:val="0"/>
          <w:bCs w:val="0"/>
        </w:rPr>
        <w:t>n Big Fish Lake pre- (2005) and post-regulation (2015).</w:t>
      </w:r>
    </w:p>
    <w:p w:rsidR="00A466DF" w:rsidRDefault="00A466DF" w:rsidP="00576E9B">
      <w:pPr>
        <w:pStyle w:val="Title"/>
        <w:jc w:val="left"/>
        <w:rPr>
          <w:b w:val="0"/>
          <w:bCs w:val="0"/>
        </w:rPr>
      </w:pPr>
    </w:p>
    <w:p w:rsidR="00896AEB" w:rsidRDefault="00896AEB">
      <w:pPr>
        <w:pStyle w:val="Title"/>
        <w:jc w:val="left"/>
        <w:rPr>
          <w:b w:val="0"/>
          <w:bCs w:val="0"/>
        </w:rPr>
      </w:pPr>
    </w:p>
    <w:sectPr w:rsidR="00896AEB" w:rsidSect="00FC36B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A05" w:rsidRDefault="00AC0A05">
      <w:r>
        <w:separator/>
      </w:r>
    </w:p>
  </w:endnote>
  <w:endnote w:type="continuationSeparator" w:id="0">
    <w:p w:rsidR="00AC0A05" w:rsidRDefault="00AC0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A05" w:rsidRDefault="00AC0A05">
      <w:r>
        <w:separator/>
      </w:r>
    </w:p>
  </w:footnote>
  <w:footnote w:type="continuationSeparator" w:id="0">
    <w:p w:rsidR="00AC0A05" w:rsidRDefault="00AC0A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804"/>
    <w:rsid w:val="00020973"/>
    <w:rsid w:val="000C0BCD"/>
    <w:rsid w:val="000D278C"/>
    <w:rsid w:val="000D64BE"/>
    <w:rsid w:val="001212DD"/>
    <w:rsid w:val="0012431B"/>
    <w:rsid w:val="0014741A"/>
    <w:rsid w:val="001552C0"/>
    <w:rsid w:val="0019062C"/>
    <w:rsid w:val="001C581E"/>
    <w:rsid w:val="001C5A5E"/>
    <w:rsid w:val="001F2B75"/>
    <w:rsid w:val="0024363F"/>
    <w:rsid w:val="00255F6E"/>
    <w:rsid w:val="002960CA"/>
    <w:rsid w:val="00331A5E"/>
    <w:rsid w:val="003846B1"/>
    <w:rsid w:val="00406C3E"/>
    <w:rsid w:val="00410299"/>
    <w:rsid w:val="004140D6"/>
    <w:rsid w:val="00422CF7"/>
    <w:rsid w:val="00424F24"/>
    <w:rsid w:val="00440272"/>
    <w:rsid w:val="00440A9E"/>
    <w:rsid w:val="00453E3A"/>
    <w:rsid w:val="00467483"/>
    <w:rsid w:val="004735AD"/>
    <w:rsid w:val="00483E0D"/>
    <w:rsid w:val="00494583"/>
    <w:rsid w:val="004B5803"/>
    <w:rsid w:val="004E61E2"/>
    <w:rsid w:val="005058C1"/>
    <w:rsid w:val="00506B92"/>
    <w:rsid w:val="00510DD4"/>
    <w:rsid w:val="00571EF6"/>
    <w:rsid w:val="00576E9B"/>
    <w:rsid w:val="005C107B"/>
    <w:rsid w:val="005C512E"/>
    <w:rsid w:val="005E216F"/>
    <w:rsid w:val="0061639C"/>
    <w:rsid w:val="00646980"/>
    <w:rsid w:val="006D33ED"/>
    <w:rsid w:val="006E45FB"/>
    <w:rsid w:val="00717276"/>
    <w:rsid w:val="00750332"/>
    <w:rsid w:val="007678BA"/>
    <w:rsid w:val="00781B17"/>
    <w:rsid w:val="00792307"/>
    <w:rsid w:val="00841846"/>
    <w:rsid w:val="00890B44"/>
    <w:rsid w:val="00896AEB"/>
    <w:rsid w:val="008B2DD6"/>
    <w:rsid w:val="008D7791"/>
    <w:rsid w:val="008E1B1D"/>
    <w:rsid w:val="00914E82"/>
    <w:rsid w:val="00917610"/>
    <w:rsid w:val="0095052F"/>
    <w:rsid w:val="00971CD8"/>
    <w:rsid w:val="009907DB"/>
    <w:rsid w:val="009A2177"/>
    <w:rsid w:val="009A63E0"/>
    <w:rsid w:val="009D5A80"/>
    <w:rsid w:val="009F227F"/>
    <w:rsid w:val="00A250C1"/>
    <w:rsid w:val="00A466DF"/>
    <w:rsid w:val="00A60047"/>
    <w:rsid w:val="00A6163E"/>
    <w:rsid w:val="00A74319"/>
    <w:rsid w:val="00A97830"/>
    <w:rsid w:val="00AA030B"/>
    <w:rsid w:val="00AA3A59"/>
    <w:rsid w:val="00AC0A05"/>
    <w:rsid w:val="00AC68F2"/>
    <w:rsid w:val="00AE07CA"/>
    <w:rsid w:val="00AE1C4C"/>
    <w:rsid w:val="00B1676D"/>
    <w:rsid w:val="00B226F2"/>
    <w:rsid w:val="00B31F88"/>
    <w:rsid w:val="00B42384"/>
    <w:rsid w:val="00B4603C"/>
    <w:rsid w:val="00B637DB"/>
    <w:rsid w:val="00BC3155"/>
    <w:rsid w:val="00BD42EB"/>
    <w:rsid w:val="00BE0EF5"/>
    <w:rsid w:val="00C16906"/>
    <w:rsid w:val="00C34E0E"/>
    <w:rsid w:val="00C354A6"/>
    <w:rsid w:val="00C55F0F"/>
    <w:rsid w:val="00CA38D3"/>
    <w:rsid w:val="00CE498A"/>
    <w:rsid w:val="00CF5742"/>
    <w:rsid w:val="00CF690D"/>
    <w:rsid w:val="00D13B50"/>
    <w:rsid w:val="00D56D0D"/>
    <w:rsid w:val="00DD56B9"/>
    <w:rsid w:val="00E164E2"/>
    <w:rsid w:val="00E657A7"/>
    <w:rsid w:val="00EB6381"/>
    <w:rsid w:val="00EF2607"/>
    <w:rsid w:val="00F14356"/>
    <w:rsid w:val="00F2325E"/>
    <w:rsid w:val="00F70804"/>
    <w:rsid w:val="00F773CC"/>
    <w:rsid w:val="00FC36BF"/>
    <w:rsid w:val="00FD1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F2A0F10-D3C4-439E-903F-3683E3C5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6BF"/>
    <w:rPr>
      <w:sz w:val="24"/>
      <w:szCs w:val="24"/>
    </w:rPr>
  </w:style>
  <w:style w:type="paragraph" w:styleId="Heading1">
    <w:name w:val="heading 1"/>
    <w:basedOn w:val="Normal"/>
    <w:next w:val="Normal"/>
    <w:link w:val="Heading1Char"/>
    <w:qFormat/>
    <w:rsid w:val="00255F6E"/>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C36BF"/>
    <w:pPr>
      <w:jc w:val="center"/>
    </w:pPr>
    <w:rPr>
      <w:b/>
      <w:bCs/>
    </w:rPr>
  </w:style>
  <w:style w:type="paragraph" w:styleId="Subtitle">
    <w:name w:val="Subtitle"/>
    <w:basedOn w:val="Normal"/>
    <w:qFormat/>
    <w:rsid w:val="00FC36BF"/>
    <w:rPr>
      <w:b/>
      <w:bCs/>
      <w:i/>
      <w:iCs/>
    </w:rPr>
  </w:style>
  <w:style w:type="paragraph" w:styleId="Header">
    <w:name w:val="header"/>
    <w:basedOn w:val="Normal"/>
    <w:semiHidden/>
    <w:rsid w:val="00FC36BF"/>
    <w:pPr>
      <w:tabs>
        <w:tab w:val="center" w:pos="4320"/>
        <w:tab w:val="right" w:pos="8640"/>
      </w:tabs>
    </w:pPr>
  </w:style>
  <w:style w:type="paragraph" w:styleId="Footer">
    <w:name w:val="footer"/>
    <w:basedOn w:val="Normal"/>
    <w:semiHidden/>
    <w:rsid w:val="00FC36BF"/>
    <w:pPr>
      <w:tabs>
        <w:tab w:val="center" w:pos="4320"/>
        <w:tab w:val="right" w:pos="8640"/>
      </w:tabs>
    </w:pPr>
  </w:style>
  <w:style w:type="paragraph" w:styleId="BalloonText">
    <w:name w:val="Balloon Text"/>
    <w:basedOn w:val="Normal"/>
    <w:link w:val="BalloonTextChar"/>
    <w:uiPriority w:val="99"/>
    <w:semiHidden/>
    <w:unhideWhenUsed/>
    <w:rsid w:val="00CE498A"/>
    <w:rPr>
      <w:rFonts w:ascii="Tahoma" w:hAnsi="Tahoma" w:cs="Tahoma"/>
      <w:sz w:val="16"/>
      <w:szCs w:val="16"/>
    </w:rPr>
  </w:style>
  <w:style w:type="character" w:customStyle="1" w:styleId="BalloonTextChar">
    <w:name w:val="Balloon Text Char"/>
    <w:basedOn w:val="DefaultParagraphFont"/>
    <w:link w:val="BalloonText"/>
    <w:uiPriority w:val="99"/>
    <w:semiHidden/>
    <w:rsid w:val="00CE498A"/>
    <w:rPr>
      <w:rFonts w:ascii="Tahoma" w:hAnsi="Tahoma" w:cs="Tahoma"/>
      <w:sz w:val="16"/>
      <w:szCs w:val="16"/>
    </w:rPr>
  </w:style>
  <w:style w:type="table" w:styleId="TableGrid">
    <w:name w:val="Table Grid"/>
    <w:basedOn w:val="TableNormal"/>
    <w:uiPriority w:val="59"/>
    <w:rsid w:val="00467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55F6E"/>
    <w:rPr>
      <w:sz w:val="24"/>
      <w:szCs w:val="24"/>
    </w:rPr>
  </w:style>
  <w:style w:type="paragraph" w:styleId="BodyText">
    <w:name w:val="Body Text"/>
    <w:basedOn w:val="Normal"/>
    <w:link w:val="BodyTextChar"/>
    <w:semiHidden/>
    <w:rsid w:val="00255F6E"/>
    <w:rPr>
      <w:szCs w:val="17"/>
    </w:rPr>
  </w:style>
  <w:style w:type="character" w:customStyle="1" w:styleId="BodyTextChar">
    <w:name w:val="Body Text Char"/>
    <w:basedOn w:val="DefaultParagraphFont"/>
    <w:link w:val="BodyText"/>
    <w:semiHidden/>
    <w:rsid w:val="00255F6E"/>
    <w:rPr>
      <w:sz w:val="24"/>
      <w:szCs w:val="17"/>
    </w:rPr>
  </w:style>
  <w:style w:type="character" w:styleId="Hyperlink">
    <w:name w:val="Hyperlink"/>
    <w:uiPriority w:val="99"/>
    <w:unhideWhenUsed/>
    <w:rsid w:val="00255F6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webSettings" Target="webSettings.xml"/><Relationship Id="rId7" Type="http://schemas.openxmlformats.org/officeDocument/2006/relationships/chart" Target="charts/chart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e.stewig@state.mn.u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jostewig\Documents\Lake%20Summaries\Stearns\Big%20Fish%20(73-106)\Big%20Fish%20Lake%20Survey%20Summary.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jostewig\Documents\Regulation%20Lakes\Big%20Fish%20Lake\Regulation%20Review%20-%202018\Big%20Fish%20Lake%20NOP%20data.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Northern Pike</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CPUE!$R$30:$R$36</c:f>
              <c:numCache>
                <c:formatCode>General</c:formatCode>
                <c:ptCount val="7"/>
                <c:pt idx="0">
                  <c:v>1980</c:v>
                </c:pt>
                <c:pt idx="1">
                  <c:v>1986</c:v>
                </c:pt>
                <c:pt idx="2">
                  <c:v>1991</c:v>
                </c:pt>
                <c:pt idx="3">
                  <c:v>1997</c:v>
                </c:pt>
                <c:pt idx="4">
                  <c:v>2005</c:v>
                </c:pt>
                <c:pt idx="5">
                  <c:v>2010</c:v>
                </c:pt>
                <c:pt idx="6">
                  <c:v>2015</c:v>
                </c:pt>
              </c:numCache>
            </c:numRef>
          </c:cat>
          <c:val>
            <c:numRef>
              <c:f>CPUE!$T$30:$T$36</c:f>
              <c:numCache>
                <c:formatCode>0.0</c:formatCode>
                <c:ptCount val="7"/>
                <c:pt idx="0">
                  <c:v>17.5</c:v>
                </c:pt>
                <c:pt idx="1">
                  <c:v>7.166666666666667</c:v>
                </c:pt>
                <c:pt idx="2">
                  <c:v>8.1666666666666661</c:v>
                </c:pt>
                <c:pt idx="3">
                  <c:v>9.3333333333333339</c:v>
                </c:pt>
                <c:pt idx="4">
                  <c:v>11.625</c:v>
                </c:pt>
                <c:pt idx="5">
                  <c:v>20.125</c:v>
                </c:pt>
                <c:pt idx="6">
                  <c:v>9.6666666666666661</c:v>
                </c:pt>
              </c:numCache>
            </c:numRef>
          </c:val>
        </c:ser>
        <c:dLbls>
          <c:showLegendKey val="0"/>
          <c:showVal val="0"/>
          <c:showCatName val="0"/>
          <c:showSerName val="0"/>
          <c:showPercent val="0"/>
          <c:showBubbleSize val="0"/>
        </c:dLbls>
        <c:gapWidth val="150"/>
        <c:axId val="276554928"/>
        <c:axId val="276555320"/>
      </c:barChart>
      <c:lineChart>
        <c:grouping val="standard"/>
        <c:varyColors val="0"/>
        <c:ser>
          <c:idx val="1"/>
          <c:order val="1"/>
          <c:spPr>
            <a:ln>
              <a:solidFill>
                <a:schemeClr val="tx1"/>
              </a:solidFill>
              <a:prstDash val="dash"/>
            </a:ln>
          </c:spPr>
          <c:marker>
            <c:symbol val="none"/>
          </c:marker>
          <c:cat>
            <c:numRef>
              <c:f>CPUE!$R$30:$R$36</c:f>
              <c:numCache>
                <c:formatCode>General</c:formatCode>
                <c:ptCount val="7"/>
                <c:pt idx="0">
                  <c:v>1980</c:v>
                </c:pt>
                <c:pt idx="1">
                  <c:v>1986</c:v>
                </c:pt>
                <c:pt idx="2">
                  <c:v>1991</c:v>
                </c:pt>
                <c:pt idx="3">
                  <c:v>1997</c:v>
                </c:pt>
                <c:pt idx="4">
                  <c:v>2005</c:v>
                </c:pt>
                <c:pt idx="5">
                  <c:v>2010</c:v>
                </c:pt>
                <c:pt idx="6">
                  <c:v>2015</c:v>
                </c:pt>
              </c:numCache>
            </c:numRef>
          </c:cat>
          <c:val>
            <c:numRef>
              <c:f>CPUE!$U$30:$U$36</c:f>
              <c:numCache>
                <c:formatCode>0.0</c:formatCode>
                <c:ptCount val="7"/>
                <c:pt idx="0">
                  <c:v>2.76</c:v>
                </c:pt>
                <c:pt idx="1">
                  <c:v>2.76</c:v>
                </c:pt>
                <c:pt idx="2">
                  <c:v>2.76</c:v>
                </c:pt>
                <c:pt idx="3">
                  <c:v>2.76</c:v>
                </c:pt>
                <c:pt idx="4">
                  <c:v>2.76</c:v>
                </c:pt>
                <c:pt idx="5">
                  <c:v>2.76</c:v>
                </c:pt>
                <c:pt idx="6">
                  <c:v>2.76</c:v>
                </c:pt>
              </c:numCache>
            </c:numRef>
          </c:val>
          <c:smooth val="0"/>
        </c:ser>
        <c:ser>
          <c:idx val="2"/>
          <c:order val="2"/>
          <c:spPr>
            <a:ln>
              <a:solidFill>
                <a:schemeClr val="tx1"/>
              </a:solidFill>
              <a:prstDash val="dash"/>
            </a:ln>
          </c:spPr>
          <c:marker>
            <c:symbol val="none"/>
          </c:marker>
          <c:cat>
            <c:numRef>
              <c:f>CPUE!$R$30:$R$36</c:f>
              <c:numCache>
                <c:formatCode>General</c:formatCode>
                <c:ptCount val="7"/>
                <c:pt idx="0">
                  <c:v>1980</c:v>
                </c:pt>
                <c:pt idx="1">
                  <c:v>1986</c:v>
                </c:pt>
                <c:pt idx="2">
                  <c:v>1991</c:v>
                </c:pt>
                <c:pt idx="3">
                  <c:v>1997</c:v>
                </c:pt>
                <c:pt idx="4">
                  <c:v>2005</c:v>
                </c:pt>
                <c:pt idx="5">
                  <c:v>2010</c:v>
                </c:pt>
                <c:pt idx="6">
                  <c:v>2015</c:v>
                </c:pt>
              </c:numCache>
            </c:numRef>
          </c:cat>
          <c:val>
            <c:numRef>
              <c:f>CPUE!$V$30:$V$36</c:f>
              <c:numCache>
                <c:formatCode>0.0</c:formatCode>
                <c:ptCount val="7"/>
                <c:pt idx="0">
                  <c:v>9</c:v>
                </c:pt>
                <c:pt idx="1">
                  <c:v>9</c:v>
                </c:pt>
                <c:pt idx="2">
                  <c:v>9</c:v>
                </c:pt>
                <c:pt idx="3">
                  <c:v>9</c:v>
                </c:pt>
                <c:pt idx="4">
                  <c:v>9</c:v>
                </c:pt>
                <c:pt idx="5">
                  <c:v>9</c:v>
                </c:pt>
                <c:pt idx="6">
                  <c:v>9</c:v>
                </c:pt>
              </c:numCache>
            </c:numRef>
          </c:val>
          <c:smooth val="0"/>
        </c:ser>
        <c:dLbls>
          <c:showLegendKey val="0"/>
          <c:showVal val="0"/>
          <c:showCatName val="0"/>
          <c:showSerName val="0"/>
          <c:showPercent val="0"/>
          <c:showBubbleSize val="0"/>
        </c:dLbls>
        <c:marker val="1"/>
        <c:smooth val="0"/>
        <c:axId val="276554928"/>
        <c:axId val="276555320"/>
      </c:lineChart>
      <c:catAx>
        <c:axId val="276554928"/>
        <c:scaling>
          <c:orientation val="minMax"/>
        </c:scaling>
        <c:delete val="0"/>
        <c:axPos val="b"/>
        <c:title>
          <c:tx>
            <c:rich>
              <a:bodyPr/>
              <a:lstStyle/>
              <a:p>
                <a:pPr>
                  <a:defRPr/>
                </a:pPr>
                <a:r>
                  <a:rPr lang="en-US"/>
                  <a:t>Survey Year</a:t>
                </a:r>
              </a:p>
            </c:rich>
          </c:tx>
          <c:overlay val="0"/>
        </c:title>
        <c:numFmt formatCode="General" sourceLinked="1"/>
        <c:majorTickMark val="out"/>
        <c:minorTickMark val="none"/>
        <c:tickLblPos val="nextTo"/>
        <c:crossAx val="276555320"/>
        <c:crosses val="autoZero"/>
        <c:auto val="1"/>
        <c:lblAlgn val="ctr"/>
        <c:lblOffset val="100"/>
        <c:noMultiLvlLbl val="0"/>
      </c:catAx>
      <c:valAx>
        <c:axId val="276555320"/>
        <c:scaling>
          <c:orientation val="minMax"/>
        </c:scaling>
        <c:delete val="0"/>
        <c:axPos val="l"/>
        <c:title>
          <c:tx>
            <c:rich>
              <a:bodyPr rot="-5400000" vert="horz"/>
              <a:lstStyle/>
              <a:p>
                <a:pPr>
                  <a:defRPr/>
                </a:pPr>
                <a:r>
                  <a:rPr lang="en-US"/>
                  <a:t>#/gillnet</a:t>
                </a:r>
              </a:p>
            </c:rich>
          </c:tx>
          <c:overlay val="0"/>
        </c:title>
        <c:numFmt formatCode="0.0" sourceLinked="1"/>
        <c:majorTickMark val="out"/>
        <c:minorTickMark val="none"/>
        <c:tickLblPos val="nextTo"/>
        <c:crossAx val="27655492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chemeClr val="tx1"/>
                </a:solidFill>
              </a:rPr>
              <a:t>Spring Ice-Out Assessments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areaChart>
        <c:grouping val="standard"/>
        <c:varyColors val="0"/>
        <c:ser>
          <c:idx val="0"/>
          <c:order val="0"/>
          <c:tx>
            <c:v>Pre-Reg</c:v>
          </c:tx>
          <c:spPr>
            <a:solidFill>
              <a:schemeClr val="accent1"/>
            </a:solidFill>
            <a:ln w="25400">
              <a:noFill/>
            </a:ln>
            <a:effectLst/>
          </c:spPr>
          <c:cat>
            <c:numRef>
              <c:f>Summary!$A$2:$A$30</c:f>
              <c:numCache>
                <c:formatCode>General</c:formatCode>
                <c:ptCount val="29"/>
                <c:pt idx="0">
                  <c:v>7</c:v>
                </c:pt>
                <c:pt idx="1">
                  <c:v>8</c:v>
                </c:pt>
                <c:pt idx="2">
                  <c:v>9</c:v>
                </c:pt>
                <c:pt idx="3">
                  <c:v>10</c:v>
                </c:pt>
                <c:pt idx="4">
                  <c:v>11</c:v>
                </c:pt>
                <c:pt idx="5">
                  <c:v>12</c:v>
                </c:pt>
                <c:pt idx="6">
                  <c:v>13</c:v>
                </c:pt>
                <c:pt idx="7">
                  <c:v>14</c:v>
                </c:pt>
                <c:pt idx="8">
                  <c:v>15</c:v>
                </c:pt>
                <c:pt idx="9">
                  <c:v>16</c:v>
                </c:pt>
                <c:pt idx="10">
                  <c:v>17</c:v>
                </c:pt>
                <c:pt idx="11">
                  <c:v>18</c:v>
                </c:pt>
                <c:pt idx="12">
                  <c:v>19</c:v>
                </c:pt>
                <c:pt idx="13">
                  <c:v>20</c:v>
                </c:pt>
                <c:pt idx="14">
                  <c:v>21</c:v>
                </c:pt>
                <c:pt idx="15">
                  <c:v>22</c:v>
                </c:pt>
                <c:pt idx="16">
                  <c:v>23</c:v>
                </c:pt>
                <c:pt idx="17">
                  <c:v>24</c:v>
                </c:pt>
                <c:pt idx="18">
                  <c:v>25</c:v>
                </c:pt>
                <c:pt idx="19">
                  <c:v>26</c:v>
                </c:pt>
                <c:pt idx="20">
                  <c:v>27</c:v>
                </c:pt>
                <c:pt idx="21">
                  <c:v>28</c:v>
                </c:pt>
                <c:pt idx="22">
                  <c:v>29</c:v>
                </c:pt>
                <c:pt idx="23">
                  <c:v>30</c:v>
                </c:pt>
                <c:pt idx="24">
                  <c:v>31</c:v>
                </c:pt>
                <c:pt idx="25">
                  <c:v>32</c:v>
                </c:pt>
                <c:pt idx="26">
                  <c:v>33</c:v>
                </c:pt>
                <c:pt idx="27">
                  <c:v>34</c:v>
                </c:pt>
                <c:pt idx="28">
                  <c:v>35</c:v>
                </c:pt>
              </c:numCache>
            </c:numRef>
          </c:cat>
          <c:val>
            <c:numRef>
              <c:f>Summary!$J$2:$J$30</c:f>
              <c:numCache>
                <c:formatCode>0.0</c:formatCode>
                <c:ptCount val="29"/>
                <c:pt idx="0">
                  <c:v>0.25510204081632654</c:v>
                </c:pt>
                <c:pt idx="1">
                  <c:v>0</c:v>
                </c:pt>
                <c:pt idx="2">
                  <c:v>0.25510204081632654</c:v>
                </c:pt>
                <c:pt idx="3">
                  <c:v>0</c:v>
                </c:pt>
                <c:pt idx="4">
                  <c:v>0</c:v>
                </c:pt>
                <c:pt idx="5">
                  <c:v>0</c:v>
                </c:pt>
                <c:pt idx="6">
                  <c:v>2.0408163265306123</c:v>
                </c:pt>
                <c:pt idx="7">
                  <c:v>6.6326530612244898</c:v>
                </c:pt>
                <c:pt idx="8">
                  <c:v>9.4387755102040813</c:v>
                </c:pt>
                <c:pt idx="9">
                  <c:v>14.030612244897958</c:v>
                </c:pt>
                <c:pt idx="10">
                  <c:v>16.836734693877549</c:v>
                </c:pt>
                <c:pt idx="11">
                  <c:v>16.581632653061224</c:v>
                </c:pt>
                <c:pt idx="12">
                  <c:v>14.285714285714285</c:v>
                </c:pt>
                <c:pt idx="13">
                  <c:v>5.8673469387755102</c:v>
                </c:pt>
                <c:pt idx="14">
                  <c:v>4.0816326530612246</c:v>
                </c:pt>
                <c:pt idx="15">
                  <c:v>2.806122448979592</c:v>
                </c:pt>
                <c:pt idx="16">
                  <c:v>3.3163265306122449</c:v>
                </c:pt>
                <c:pt idx="17">
                  <c:v>2.0408163265306123</c:v>
                </c:pt>
                <c:pt idx="18">
                  <c:v>0.25510204081632654</c:v>
                </c:pt>
                <c:pt idx="19">
                  <c:v>0.76530612244897955</c:v>
                </c:pt>
                <c:pt idx="20">
                  <c:v>0.25510204081632654</c:v>
                </c:pt>
                <c:pt idx="21">
                  <c:v>0</c:v>
                </c:pt>
                <c:pt idx="22">
                  <c:v>0</c:v>
                </c:pt>
                <c:pt idx="23">
                  <c:v>0.25510204081632654</c:v>
                </c:pt>
                <c:pt idx="24">
                  <c:v>0</c:v>
                </c:pt>
                <c:pt idx="25">
                  <c:v>0</c:v>
                </c:pt>
                <c:pt idx="26">
                  <c:v>0</c:v>
                </c:pt>
                <c:pt idx="27">
                  <c:v>0</c:v>
                </c:pt>
                <c:pt idx="28">
                  <c:v>0</c:v>
                </c:pt>
              </c:numCache>
            </c:numRef>
          </c:val>
        </c:ser>
        <c:dLbls>
          <c:showLegendKey val="0"/>
          <c:showVal val="0"/>
          <c:showCatName val="0"/>
          <c:showSerName val="0"/>
          <c:showPercent val="0"/>
          <c:showBubbleSize val="0"/>
        </c:dLbls>
        <c:axId val="276556496"/>
        <c:axId val="276556888"/>
      </c:areaChart>
      <c:barChart>
        <c:barDir val="col"/>
        <c:grouping val="clustered"/>
        <c:varyColors val="0"/>
        <c:ser>
          <c:idx val="1"/>
          <c:order val="1"/>
          <c:tx>
            <c:v>Post-Reg</c:v>
          </c:tx>
          <c:spPr>
            <a:solidFill>
              <a:schemeClr val="accent2"/>
            </a:solidFill>
            <a:ln>
              <a:noFill/>
            </a:ln>
            <a:effectLst/>
          </c:spPr>
          <c:invertIfNegative val="0"/>
          <c:cat>
            <c:numRef>
              <c:f>Summary!$A$2:$A$30</c:f>
              <c:numCache>
                <c:formatCode>General</c:formatCode>
                <c:ptCount val="29"/>
                <c:pt idx="0">
                  <c:v>7</c:v>
                </c:pt>
                <c:pt idx="1">
                  <c:v>8</c:v>
                </c:pt>
                <c:pt idx="2">
                  <c:v>9</c:v>
                </c:pt>
                <c:pt idx="3">
                  <c:v>10</c:v>
                </c:pt>
                <c:pt idx="4">
                  <c:v>11</c:v>
                </c:pt>
                <c:pt idx="5">
                  <c:v>12</c:v>
                </c:pt>
                <c:pt idx="6">
                  <c:v>13</c:v>
                </c:pt>
                <c:pt idx="7">
                  <c:v>14</c:v>
                </c:pt>
                <c:pt idx="8">
                  <c:v>15</c:v>
                </c:pt>
                <c:pt idx="9">
                  <c:v>16</c:v>
                </c:pt>
                <c:pt idx="10">
                  <c:v>17</c:v>
                </c:pt>
                <c:pt idx="11">
                  <c:v>18</c:v>
                </c:pt>
                <c:pt idx="12">
                  <c:v>19</c:v>
                </c:pt>
                <c:pt idx="13">
                  <c:v>20</c:v>
                </c:pt>
                <c:pt idx="14">
                  <c:v>21</c:v>
                </c:pt>
                <c:pt idx="15">
                  <c:v>22</c:v>
                </c:pt>
                <c:pt idx="16">
                  <c:v>23</c:v>
                </c:pt>
                <c:pt idx="17">
                  <c:v>24</c:v>
                </c:pt>
                <c:pt idx="18">
                  <c:v>25</c:v>
                </c:pt>
                <c:pt idx="19">
                  <c:v>26</c:v>
                </c:pt>
                <c:pt idx="20">
                  <c:v>27</c:v>
                </c:pt>
                <c:pt idx="21">
                  <c:v>28</c:v>
                </c:pt>
                <c:pt idx="22">
                  <c:v>29</c:v>
                </c:pt>
                <c:pt idx="23">
                  <c:v>30</c:v>
                </c:pt>
                <c:pt idx="24">
                  <c:v>31</c:v>
                </c:pt>
                <c:pt idx="25">
                  <c:v>32</c:v>
                </c:pt>
                <c:pt idx="26">
                  <c:v>33</c:v>
                </c:pt>
                <c:pt idx="27">
                  <c:v>34</c:v>
                </c:pt>
                <c:pt idx="28">
                  <c:v>35</c:v>
                </c:pt>
              </c:numCache>
            </c:numRef>
          </c:cat>
          <c:val>
            <c:numRef>
              <c:f>Summary!$L$2:$L$30</c:f>
              <c:numCache>
                <c:formatCode>0.0</c:formatCode>
                <c:ptCount val="29"/>
                <c:pt idx="0">
                  <c:v>0</c:v>
                </c:pt>
                <c:pt idx="1">
                  <c:v>0.38910505836575876</c:v>
                </c:pt>
                <c:pt idx="2">
                  <c:v>0.19455252918287938</c:v>
                </c:pt>
                <c:pt idx="3">
                  <c:v>0.19455252918287938</c:v>
                </c:pt>
                <c:pt idx="4">
                  <c:v>0.97276264591439687</c:v>
                </c:pt>
                <c:pt idx="5">
                  <c:v>2.7237354085603114</c:v>
                </c:pt>
                <c:pt idx="6">
                  <c:v>6.0311284046692606</c:v>
                </c:pt>
                <c:pt idx="7">
                  <c:v>11.284046692607005</c:v>
                </c:pt>
                <c:pt idx="8">
                  <c:v>16.147859922178988</c:v>
                </c:pt>
                <c:pt idx="9">
                  <c:v>16.926070038910506</c:v>
                </c:pt>
                <c:pt idx="10">
                  <c:v>12.840466926070038</c:v>
                </c:pt>
                <c:pt idx="11">
                  <c:v>10.311284046692606</c:v>
                </c:pt>
                <c:pt idx="12">
                  <c:v>7.3929961089494167</c:v>
                </c:pt>
                <c:pt idx="13">
                  <c:v>7.0038910505836576</c:v>
                </c:pt>
                <c:pt idx="14">
                  <c:v>1.7509727626459144</c:v>
                </c:pt>
                <c:pt idx="15">
                  <c:v>1.1673151750972763</c:v>
                </c:pt>
                <c:pt idx="16">
                  <c:v>1.7509727626459144</c:v>
                </c:pt>
                <c:pt idx="17">
                  <c:v>0.97276264591439687</c:v>
                </c:pt>
                <c:pt idx="18">
                  <c:v>0.38910505836575876</c:v>
                </c:pt>
                <c:pt idx="19">
                  <c:v>0.77821011673151752</c:v>
                </c:pt>
                <c:pt idx="20">
                  <c:v>0</c:v>
                </c:pt>
                <c:pt idx="21">
                  <c:v>0.38910505836575876</c:v>
                </c:pt>
                <c:pt idx="22">
                  <c:v>0.19455252918287938</c:v>
                </c:pt>
                <c:pt idx="23">
                  <c:v>0</c:v>
                </c:pt>
                <c:pt idx="24">
                  <c:v>0</c:v>
                </c:pt>
                <c:pt idx="25">
                  <c:v>0</c:v>
                </c:pt>
                <c:pt idx="26">
                  <c:v>0.19455252918287938</c:v>
                </c:pt>
                <c:pt idx="27">
                  <c:v>0</c:v>
                </c:pt>
                <c:pt idx="28">
                  <c:v>0</c:v>
                </c:pt>
              </c:numCache>
            </c:numRef>
          </c:val>
        </c:ser>
        <c:dLbls>
          <c:showLegendKey val="0"/>
          <c:showVal val="0"/>
          <c:showCatName val="0"/>
          <c:showSerName val="0"/>
          <c:showPercent val="0"/>
          <c:showBubbleSize val="0"/>
        </c:dLbls>
        <c:gapWidth val="219"/>
        <c:axId val="276556496"/>
        <c:axId val="276556888"/>
      </c:barChart>
      <c:catAx>
        <c:axId val="2765564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sz="1400" b="1">
                    <a:solidFill>
                      <a:schemeClr val="tx1"/>
                    </a:solidFill>
                  </a:rPr>
                  <a:t>Length groups (1-in)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19050" cap="flat" cmpd="sng" algn="ctr">
            <a:solidFill>
              <a:schemeClr val="tx1"/>
            </a:solidFill>
            <a:round/>
          </a:ln>
          <a:effectLst/>
        </c:spPr>
        <c:txPr>
          <a:bodyPr rot="-6000000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en-US"/>
          </a:p>
        </c:txPr>
        <c:crossAx val="276556888"/>
        <c:crosses val="autoZero"/>
        <c:auto val="1"/>
        <c:lblAlgn val="ctr"/>
        <c:lblOffset val="100"/>
        <c:tickLblSkip val="2"/>
        <c:tickMarkSkip val="1"/>
        <c:noMultiLvlLbl val="0"/>
      </c:catAx>
      <c:valAx>
        <c:axId val="27655688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sz="1400" b="1">
                    <a:solidFill>
                      <a:schemeClr val="tx1"/>
                    </a:solidFill>
                  </a:rPr>
                  <a:t>% frequency</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0.0" sourceLinked="1"/>
        <c:majorTickMark val="out"/>
        <c:minorTickMark val="out"/>
        <c:tickLblPos val="nextTo"/>
        <c:spPr>
          <a:noFill/>
          <a:ln w="19050">
            <a:solidFill>
              <a:schemeClr val="tx1"/>
            </a:solidFill>
          </a:ln>
          <a:effectLst/>
        </c:spPr>
        <c:txPr>
          <a:bodyPr rot="-6000000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en-US"/>
          </a:p>
        </c:txPr>
        <c:crossAx val="276556496"/>
        <c:crossesAt val="1"/>
        <c:crossBetween val="between"/>
        <c:minorUnit val="1"/>
      </c:valAx>
      <c:spPr>
        <a:noFill/>
        <a:ln>
          <a:noFill/>
        </a:ln>
        <a:effectLst/>
      </c:spPr>
    </c:plotArea>
    <c:legend>
      <c:legendPos val="t"/>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chemeClr val="tx1"/>
                </a:solidFill>
              </a:rPr>
              <a:t>Summer Surveys </a:t>
            </a:r>
          </a:p>
          <a:p>
            <a:pPr>
              <a:defRPr/>
            </a:pPr>
            <a:r>
              <a:rPr lang="en-US" b="1">
                <a:solidFill>
                  <a:schemeClr val="tx1"/>
                </a:solidFill>
              </a:rPr>
              <a:t>(GN</a:t>
            </a:r>
            <a:r>
              <a:rPr lang="en-US" b="1" baseline="0">
                <a:solidFill>
                  <a:schemeClr val="tx1"/>
                </a:solidFill>
              </a:rPr>
              <a:t> &amp; TN combined)</a:t>
            </a:r>
            <a:endParaRPr lang="en-US" b="1">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areaChart>
        <c:grouping val="standard"/>
        <c:varyColors val="0"/>
        <c:ser>
          <c:idx val="0"/>
          <c:order val="0"/>
          <c:tx>
            <c:v>Pre-Reg</c:v>
          </c:tx>
          <c:spPr>
            <a:solidFill>
              <a:schemeClr val="accent1"/>
            </a:solidFill>
            <a:ln w="25400">
              <a:noFill/>
            </a:ln>
            <a:effectLst/>
          </c:spPr>
          <c:cat>
            <c:numRef>
              <c:f>Summary!$A$2:$A$30</c:f>
              <c:numCache>
                <c:formatCode>General</c:formatCode>
                <c:ptCount val="29"/>
                <c:pt idx="0">
                  <c:v>7</c:v>
                </c:pt>
                <c:pt idx="1">
                  <c:v>8</c:v>
                </c:pt>
                <c:pt idx="2">
                  <c:v>9</c:v>
                </c:pt>
                <c:pt idx="3">
                  <c:v>10</c:v>
                </c:pt>
                <c:pt idx="4">
                  <c:v>11</c:v>
                </c:pt>
                <c:pt idx="5">
                  <c:v>12</c:v>
                </c:pt>
                <c:pt idx="6">
                  <c:v>13</c:v>
                </c:pt>
                <c:pt idx="7">
                  <c:v>14</c:v>
                </c:pt>
                <c:pt idx="8">
                  <c:v>15</c:v>
                </c:pt>
                <c:pt idx="9">
                  <c:v>16</c:v>
                </c:pt>
                <c:pt idx="10">
                  <c:v>17</c:v>
                </c:pt>
                <c:pt idx="11">
                  <c:v>18</c:v>
                </c:pt>
                <c:pt idx="12">
                  <c:v>19</c:v>
                </c:pt>
                <c:pt idx="13">
                  <c:v>20</c:v>
                </c:pt>
                <c:pt idx="14">
                  <c:v>21</c:v>
                </c:pt>
                <c:pt idx="15">
                  <c:v>22</c:v>
                </c:pt>
                <c:pt idx="16">
                  <c:v>23</c:v>
                </c:pt>
                <c:pt idx="17">
                  <c:v>24</c:v>
                </c:pt>
                <c:pt idx="18">
                  <c:v>25</c:v>
                </c:pt>
                <c:pt idx="19">
                  <c:v>26</c:v>
                </c:pt>
                <c:pt idx="20">
                  <c:v>27</c:v>
                </c:pt>
                <c:pt idx="21">
                  <c:v>28</c:v>
                </c:pt>
                <c:pt idx="22">
                  <c:v>29</c:v>
                </c:pt>
                <c:pt idx="23">
                  <c:v>30</c:v>
                </c:pt>
                <c:pt idx="24">
                  <c:v>31</c:v>
                </c:pt>
                <c:pt idx="25">
                  <c:v>32</c:v>
                </c:pt>
                <c:pt idx="26">
                  <c:v>33</c:v>
                </c:pt>
                <c:pt idx="27">
                  <c:v>34</c:v>
                </c:pt>
                <c:pt idx="28">
                  <c:v>35</c:v>
                </c:pt>
              </c:numCache>
            </c:numRef>
          </c:cat>
          <c:val>
            <c:numRef>
              <c:f>Summary!$C$2:$C$30</c:f>
              <c:numCache>
                <c:formatCode>0.0</c:formatCode>
                <c:ptCount val="29"/>
                <c:pt idx="0">
                  <c:v>0</c:v>
                </c:pt>
                <c:pt idx="1">
                  <c:v>0</c:v>
                </c:pt>
                <c:pt idx="2">
                  <c:v>0</c:v>
                </c:pt>
                <c:pt idx="3">
                  <c:v>0</c:v>
                </c:pt>
                <c:pt idx="4">
                  <c:v>1.098901098901099</c:v>
                </c:pt>
                <c:pt idx="5">
                  <c:v>6.593406593406594</c:v>
                </c:pt>
                <c:pt idx="6">
                  <c:v>3.296703296703297</c:v>
                </c:pt>
                <c:pt idx="7">
                  <c:v>7.6923076923076925</c:v>
                </c:pt>
                <c:pt idx="8">
                  <c:v>10.989010989010989</c:v>
                </c:pt>
                <c:pt idx="9">
                  <c:v>13.186813186813188</c:v>
                </c:pt>
                <c:pt idx="10">
                  <c:v>14.285714285714285</c:v>
                </c:pt>
                <c:pt idx="11">
                  <c:v>12.087912087912088</c:v>
                </c:pt>
                <c:pt idx="12">
                  <c:v>10.989010989010989</c:v>
                </c:pt>
                <c:pt idx="13">
                  <c:v>2.197802197802198</c:v>
                </c:pt>
                <c:pt idx="14">
                  <c:v>4.395604395604396</c:v>
                </c:pt>
                <c:pt idx="15">
                  <c:v>4.395604395604396</c:v>
                </c:pt>
                <c:pt idx="16">
                  <c:v>2.197802197802198</c:v>
                </c:pt>
                <c:pt idx="17">
                  <c:v>1.098901098901099</c:v>
                </c:pt>
                <c:pt idx="18">
                  <c:v>1.098901098901099</c:v>
                </c:pt>
                <c:pt idx="19">
                  <c:v>2.197802197802198</c:v>
                </c:pt>
                <c:pt idx="20">
                  <c:v>2.197802197802198</c:v>
                </c:pt>
                <c:pt idx="21">
                  <c:v>0</c:v>
                </c:pt>
                <c:pt idx="22">
                  <c:v>0</c:v>
                </c:pt>
                <c:pt idx="23">
                  <c:v>0</c:v>
                </c:pt>
                <c:pt idx="24">
                  <c:v>0</c:v>
                </c:pt>
                <c:pt idx="25">
                  <c:v>0</c:v>
                </c:pt>
                <c:pt idx="26">
                  <c:v>0</c:v>
                </c:pt>
                <c:pt idx="27">
                  <c:v>0</c:v>
                </c:pt>
                <c:pt idx="28">
                  <c:v>0</c:v>
                </c:pt>
              </c:numCache>
            </c:numRef>
          </c:val>
        </c:ser>
        <c:dLbls>
          <c:showLegendKey val="0"/>
          <c:showVal val="0"/>
          <c:showCatName val="0"/>
          <c:showSerName val="0"/>
          <c:showPercent val="0"/>
          <c:showBubbleSize val="0"/>
        </c:dLbls>
        <c:axId val="276557672"/>
        <c:axId val="276558064"/>
      </c:areaChart>
      <c:barChart>
        <c:barDir val="col"/>
        <c:grouping val="clustered"/>
        <c:varyColors val="0"/>
        <c:ser>
          <c:idx val="2"/>
          <c:order val="2"/>
          <c:tx>
            <c:v>Post-Reg</c:v>
          </c:tx>
          <c:spPr>
            <a:solidFill>
              <a:schemeClr val="accent2"/>
            </a:solidFill>
            <a:ln>
              <a:noFill/>
            </a:ln>
            <a:effectLst/>
          </c:spPr>
          <c:invertIfNegative val="0"/>
          <c:cat>
            <c:numRef>
              <c:f>Summary!$A$2:$A$30</c:f>
              <c:numCache>
                <c:formatCode>General</c:formatCode>
                <c:ptCount val="29"/>
                <c:pt idx="0">
                  <c:v>7</c:v>
                </c:pt>
                <c:pt idx="1">
                  <c:v>8</c:v>
                </c:pt>
                <c:pt idx="2">
                  <c:v>9</c:v>
                </c:pt>
                <c:pt idx="3">
                  <c:v>10</c:v>
                </c:pt>
                <c:pt idx="4">
                  <c:v>11</c:v>
                </c:pt>
                <c:pt idx="5">
                  <c:v>12</c:v>
                </c:pt>
                <c:pt idx="6">
                  <c:v>13</c:v>
                </c:pt>
                <c:pt idx="7">
                  <c:v>14</c:v>
                </c:pt>
                <c:pt idx="8">
                  <c:v>15</c:v>
                </c:pt>
                <c:pt idx="9">
                  <c:v>16</c:v>
                </c:pt>
                <c:pt idx="10">
                  <c:v>17</c:v>
                </c:pt>
                <c:pt idx="11">
                  <c:v>18</c:v>
                </c:pt>
                <c:pt idx="12">
                  <c:v>19</c:v>
                </c:pt>
                <c:pt idx="13">
                  <c:v>20</c:v>
                </c:pt>
                <c:pt idx="14">
                  <c:v>21</c:v>
                </c:pt>
                <c:pt idx="15">
                  <c:v>22</c:v>
                </c:pt>
                <c:pt idx="16">
                  <c:v>23</c:v>
                </c:pt>
                <c:pt idx="17">
                  <c:v>24</c:v>
                </c:pt>
                <c:pt idx="18">
                  <c:v>25</c:v>
                </c:pt>
                <c:pt idx="19">
                  <c:v>26</c:v>
                </c:pt>
                <c:pt idx="20">
                  <c:v>27</c:v>
                </c:pt>
                <c:pt idx="21">
                  <c:v>28</c:v>
                </c:pt>
                <c:pt idx="22">
                  <c:v>29</c:v>
                </c:pt>
                <c:pt idx="23">
                  <c:v>30</c:v>
                </c:pt>
                <c:pt idx="24">
                  <c:v>31</c:v>
                </c:pt>
                <c:pt idx="25">
                  <c:v>32</c:v>
                </c:pt>
                <c:pt idx="26">
                  <c:v>33</c:v>
                </c:pt>
                <c:pt idx="27">
                  <c:v>34</c:v>
                </c:pt>
                <c:pt idx="28">
                  <c:v>35</c:v>
                </c:pt>
              </c:numCache>
            </c:numRef>
          </c:cat>
          <c:val>
            <c:numRef>
              <c:f>Summary!$F$2:$F$30</c:f>
              <c:numCache>
                <c:formatCode>0.0</c:formatCode>
                <c:ptCount val="29"/>
                <c:pt idx="0">
                  <c:v>0</c:v>
                </c:pt>
                <c:pt idx="1">
                  <c:v>0</c:v>
                </c:pt>
                <c:pt idx="2">
                  <c:v>1.9801980198019802</c:v>
                </c:pt>
                <c:pt idx="3">
                  <c:v>3.9603960396039604</c:v>
                </c:pt>
                <c:pt idx="4">
                  <c:v>5.9405940594059405</c:v>
                </c:pt>
                <c:pt idx="5">
                  <c:v>0.99009900990099009</c:v>
                </c:pt>
                <c:pt idx="6">
                  <c:v>11.881188118811881</c:v>
                </c:pt>
                <c:pt idx="7">
                  <c:v>10.891089108910892</c:v>
                </c:pt>
                <c:pt idx="8">
                  <c:v>11.881188118811881</c:v>
                </c:pt>
                <c:pt idx="9">
                  <c:v>5.9405940594059405</c:v>
                </c:pt>
                <c:pt idx="10">
                  <c:v>8.9108910891089099</c:v>
                </c:pt>
                <c:pt idx="11">
                  <c:v>4.9504950495049505</c:v>
                </c:pt>
                <c:pt idx="12">
                  <c:v>2.9702970297029703</c:v>
                </c:pt>
                <c:pt idx="13">
                  <c:v>3.9603960396039604</c:v>
                </c:pt>
                <c:pt idx="14">
                  <c:v>9.9009900990099009</c:v>
                </c:pt>
                <c:pt idx="15">
                  <c:v>1.9801980198019802</c:v>
                </c:pt>
                <c:pt idx="16">
                  <c:v>4.9504950495049505</c:v>
                </c:pt>
                <c:pt idx="17">
                  <c:v>0.99009900990099009</c:v>
                </c:pt>
                <c:pt idx="18">
                  <c:v>3.9603960396039604</c:v>
                </c:pt>
                <c:pt idx="19">
                  <c:v>0.99009900990099009</c:v>
                </c:pt>
                <c:pt idx="20">
                  <c:v>0</c:v>
                </c:pt>
                <c:pt idx="21">
                  <c:v>1.9801980198019802</c:v>
                </c:pt>
                <c:pt idx="22">
                  <c:v>0</c:v>
                </c:pt>
                <c:pt idx="23">
                  <c:v>0</c:v>
                </c:pt>
                <c:pt idx="24">
                  <c:v>0</c:v>
                </c:pt>
                <c:pt idx="25">
                  <c:v>0</c:v>
                </c:pt>
                <c:pt idx="26">
                  <c:v>0</c:v>
                </c:pt>
                <c:pt idx="27">
                  <c:v>0.99009900990099009</c:v>
                </c:pt>
                <c:pt idx="28">
                  <c:v>0</c:v>
                </c:pt>
              </c:numCache>
            </c:numRef>
          </c:val>
        </c:ser>
        <c:dLbls>
          <c:showLegendKey val="0"/>
          <c:showVal val="0"/>
          <c:showCatName val="0"/>
          <c:showSerName val="0"/>
          <c:showPercent val="0"/>
          <c:showBubbleSize val="0"/>
        </c:dLbls>
        <c:gapWidth val="219"/>
        <c:overlap val="-27"/>
        <c:axId val="276557672"/>
        <c:axId val="276558064"/>
        <c:extLst>
          <c:ext xmlns:c15="http://schemas.microsoft.com/office/drawing/2012/chart" uri="{02D57815-91ED-43cb-92C2-25804820EDAC}">
            <c15:filteredBarSeries>
              <c15:ser>
                <c:idx val="1"/>
                <c:order val="1"/>
                <c:tx>
                  <c:v>2010</c:v>
                </c:tx>
                <c:spPr>
                  <a:solidFill>
                    <a:schemeClr val="accent2"/>
                  </a:solidFill>
                  <a:ln>
                    <a:noFill/>
                  </a:ln>
                  <a:effectLst/>
                </c:spPr>
                <c:invertIfNegative val="0"/>
                <c:cat>
                  <c:numRef>
                    <c:extLst>
                      <c:ext uri="{02D57815-91ED-43cb-92C2-25804820EDAC}">
                        <c15:formulaRef>
                          <c15:sqref>Summary!$A$2:$A$30</c15:sqref>
                        </c15:formulaRef>
                      </c:ext>
                    </c:extLst>
                    <c:numCache>
                      <c:formatCode>General</c:formatCode>
                      <c:ptCount val="29"/>
                      <c:pt idx="0">
                        <c:v>7</c:v>
                      </c:pt>
                      <c:pt idx="1">
                        <c:v>8</c:v>
                      </c:pt>
                      <c:pt idx="2">
                        <c:v>9</c:v>
                      </c:pt>
                      <c:pt idx="3">
                        <c:v>10</c:v>
                      </c:pt>
                      <c:pt idx="4">
                        <c:v>11</c:v>
                      </c:pt>
                      <c:pt idx="5">
                        <c:v>12</c:v>
                      </c:pt>
                      <c:pt idx="6">
                        <c:v>13</c:v>
                      </c:pt>
                      <c:pt idx="7">
                        <c:v>14</c:v>
                      </c:pt>
                      <c:pt idx="8">
                        <c:v>15</c:v>
                      </c:pt>
                      <c:pt idx="9">
                        <c:v>16</c:v>
                      </c:pt>
                      <c:pt idx="10">
                        <c:v>17</c:v>
                      </c:pt>
                      <c:pt idx="11">
                        <c:v>18</c:v>
                      </c:pt>
                      <c:pt idx="12">
                        <c:v>19</c:v>
                      </c:pt>
                      <c:pt idx="13">
                        <c:v>20</c:v>
                      </c:pt>
                      <c:pt idx="14">
                        <c:v>21</c:v>
                      </c:pt>
                      <c:pt idx="15">
                        <c:v>22</c:v>
                      </c:pt>
                      <c:pt idx="16">
                        <c:v>23</c:v>
                      </c:pt>
                      <c:pt idx="17">
                        <c:v>24</c:v>
                      </c:pt>
                      <c:pt idx="18">
                        <c:v>25</c:v>
                      </c:pt>
                      <c:pt idx="19">
                        <c:v>26</c:v>
                      </c:pt>
                      <c:pt idx="20">
                        <c:v>27</c:v>
                      </c:pt>
                      <c:pt idx="21">
                        <c:v>28</c:v>
                      </c:pt>
                      <c:pt idx="22">
                        <c:v>29</c:v>
                      </c:pt>
                      <c:pt idx="23">
                        <c:v>30</c:v>
                      </c:pt>
                      <c:pt idx="24">
                        <c:v>31</c:v>
                      </c:pt>
                      <c:pt idx="25">
                        <c:v>32</c:v>
                      </c:pt>
                      <c:pt idx="26">
                        <c:v>33</c:v>
                      </c:pt>
                      <c:pt idx="27">
                        <c:v>34</c:v>
                      </c:pt>
                      <c:pt idx="28">
                        <c:v>35</c:v>
                      </c:pt>
                    </c:numCache>
                  </c:numRef>
                </c:cat>
                <c:val>
                  <c:numRef>
                    <c:extLst>
                      <c:ext uri="{02D57815-91ED-43cb-92C2-25804820EDAC}">
                        <c15:formulaRef>
                          <c15:sqref>Summary!$D$3:$D$30</c15:sqref>
                        </c15:formulaRef>
                      </c:ext>
                    </c:extLst>
                    <c:numCache>
                      <c:formatCode>General</c:formatCode>
                      <c:ptCount val="28"/>
                      <c:pt idx="0">
                        <c:v>0</c:v>
                      </c:pt>
                      <c:pt idx="1">
                        <c:v>2</c:v>
                      </c:pt>
                      <c:pt idx="2">
                        <c:v>6</c:v>
                      </c:pt>
                      <c:pt idx="3">
                        <c:v>9</c:v>
                      </c:pt>
                      <c:pt idx="4">
                        <c:v>7</c:v>
                      </c:pt>
                      <c:pt idx="5">
                        <c:v>10</c:v>
                      </c:pt>
                      <c:pt idx="6">
                        <c:v>24</c:v>
                      </c:pt>
                      <c:pt idx="7">
                        <c:v>32</c:v>
                      </c:pt>
                      <c:pt idx="8">
                        <c:v>18</c:v>
                      </c:pt>
                      <c:pt idx="9">
                        <c:v>15</c:v>
                      </c:pt>
                      <c:pt idx="10">
                        <c:v>13</c:v>
                      </c:pt>
                      <c:pt idx="11">
                        <c:v>18</c:v>
                      </c:pt>
                      <c:pt idx="12">
                        <c:v>7</c:v>
                      </c:pt>
                      <c:pt idx="13">
                        <c:v>3</c:v>
                      </c:pt>
                      <c:pt idx="14">
                        <c:v>3</c:v>
                      </c:pt>
                      <c:pt idx="15">
                        <c:v>1</c:v>
                      </c:pt>
                      <c:pt idx="16">
                        <c:v>2</c:v>
                      </c:pt>
                      <c:pt idx="17">
                        <c:v>0</c:v>
                      </c:pt>
                      <c:pt idx="18">
                        <c:v>1</c:v>
                      </c:pt>
                      <c:pt idx="19">
                        <c:v>2</c:v>
                      </c:pt>
                      <c:pt idx="20">
                        <c:v>1</c:v>
                      </c:pt>
                      <c:pt idx="21">
                        <c:v>1</c:v>
                      </c:pt>
                      <c:pt idx="22">
                        <c:v>0</c:v>
                      </c:pt>
                      <c:pt idx="23">
                        <c:v>0</c:v>
                      </c:pt>
                      <c:pt idx="24">
                        <c:v>0</c:v>
                      </c:pt>
                      <c:pt idx="25">
                        <c:v>0</c:v>
                      </c:pt>
                      <c:pt idx="26">
                        <c:v>0</c:v>
                      </c:pt>
                      <c:pt idx="27">
                        <c:v>0</c:v>
                      </c:pt>
                    </c:numCache>
                  </c:numRef>
                </c:val>
              </c15:ser>
            </c15:filteredBarSeries>
          </c:ext>
        </c:extLst>
      </c:barChart>
      <c:catAx>
        <c:axId val="2765576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400" b="1">
                    <a:solidFill>
                      <a:schemeClr val="tx1"/>
                    </a:solidFill>
                  </a:rPr>
                  <a:t>Length groups (1-in)</a:t>
                </a:r>
                <a:endParaRPr lang="en-US" b="1">
                  <a:solidFill>
                    <a:schemeClr val="tx1"/>
                  </a:solidFill>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19050" cap="flat" cmpd="sng" algn="ctr">
            <a:solidFill>
              <a:schemeClr val="tx1"/>
            </a:solidFill>
            <a:round/>
          </a:ln>
          <a:effectLst/>
        </c:spPr>
        <c:txPr>
          <a:bodyPr rot="-6000000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en-US"/>
          </a:p>
        </c:txPr>
        <c:crossAx val="276558064"/>
        <c:crosses val="autoZero"/>
        <c:auto val="1"/>
        <c:lblAlgn val="ctr"/>
        <c:lblOffset val="100"/>
        <c:tickLblSkip val="2"/>
        <c:noMultiLvlLbl val="0"/>
      </c:catAx>
      <c:valAx>
        <c:axId val="276558064"/>
        <c:scaling>
          <c:orientation val="minMax"/>
          <c:max val="18"/>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600" b="1">
                    <a:solidFill>
                      <a:schemeClr val="tx1"/>
                    </a:solidFill>
                  </a:rPr>
                  <a:t>% frequency</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out"/>
        <c:minorTickMark val="out"/>
        <c:tickLblPos val="nextTo"/>
        <c:spPr>
          <a:noFill/>
          <a:ln w="19050">
            <a:solidFill>
              <a:schemeClr val="tx1"/>
            </a:solidFill>
          </a:ln>
          <a:effectLst/>
        </c:spPr>
        <c:txPr>
          <a:bodyPr rot="-6000000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en-US"/>
          </a:p>
        </c:txPr>
        <c:crossAx val="276557672"/>
        <c:crosses val="autoZero"/>
        <c:crossBetween val="between"/>
        <c:minorUnit val="1"/>
      </c:valAx>
      <c:spPr>
        <a:noFill/>
        <a:ln>
          <a:noFill/>
        </a:ln>
        <a:effectLst/>
      </c:spPr>
    </c:plotArea>
    <c:legend>
      <c:legendPos val="t"/>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0.60764</cdr:x>
      <cdr:y>0.24314</cdr:y>
    </cdr:from>
    <cdr:to>
      <cdr:x>0.96354</cdr:x>
      <cdr:y>0.63721</cdr:y>
    </cdr:to>
    <cdr:sp macro="" textlink="">
      <cdr:nvSpPr>
        <cdr:cNvPr id="2" name="TextBox 1"/>
        <cdr:cNvSpPr txBox="1"/>
      </cdr:nvSpPr>
      <cdr:spPr>
        <a:xfrm xmlns:a="http://schemas.openxmlformats.org/drawingml/2006/main">
          <a:off x="3077165" y="766875"/>
          <a:ext cx="1802322" cy="12429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b="1" u="none" baseline="0">
              <a:solidFill>
                <a:schemeClr val="tx1"/>
              </a:solidFill>
            </a:rPr>
            <a:t>               </a:t>
          </a:r>
          <a:r>
            <a:rPr lang="en-US" sz="1100" b="1" u="sng">
              <a:solidFill>
                <a:schemeClr val="tx1"/>
              </a:solidFill>
            </a:rPr>
            <a:t>Pre-Reg</a:t>
          </a:r>
          <a:r>
            <a:rPr lang="en-US" sz="1100" b="1" u="none">
              <a:solidFill>
                <a:schemeClr val="tx1"/>
              </a:solidFill>
            </a:rPr>
            <a:t>          </a:t>
          </a:r>
          <a:r>
            <a:rPr lang="en-US" sz="1100" b="1" u="sng">
              <a:solidFill>
                <a:schemeClr val="tx1"/>
              </a:solidFill>
            </a:rPr>
            <a:t>Post-Reg</a:t>
          </a:r>
        </a:p>
        <a:p xmlns:a="http://schemas.openxmlformats.org/drawingml/2006/main">
          <a:r>
            <a:rPr lang="en-US" sz="1100" b="1" u="none">
              <a:solidFill>
                <a:schemeClr val="tx1"/>
              </a:solidFill>
            </a:rPr>
            <a:t>N</a:t>
          </a:r>
          <a:r>
            <a:rPr lang="en-US" sz="1100" b="0" u="none">
              <a:solidFill>
                <a:schemeClr val="tx1"/>
              </a:solidFill>
            </a:rPr>
            <a:t>                392</a:t>
          </a:r>
          <a:r>
            <a:rPr lang="en-US" sz="1100" b="0" u="none" baseline="0">
              <a:solidFill>
                <a:schemeClr val="tx1"/>
              </a:solidFill>
            </a:rPr>
            <a:t>                 </a:t>
          </a:r>
          <a:r>
            <a:rPr lang="en-US" sz="1100" b="0" u="none">
              <a:solidFill>
                <a:schemeClr val="tx1"/>
              </a:solidFill>
            </a:rPr>
            <a:t>514</a:t>
          </a:r>
        </a:p>
        <a:p xmlns:a="http://schemas.openxmlformats.org/drawingml/2006/main">
          <a:r>
            <a:rPr lang="en-US" sz="1100" b="1" u="none">
              <a:solidFill>
                <a:schemeClr val="tx1"/>
              </a:solidFill>
            </a:rPr>
            <a:t>Avg.TL</a:t>
          </a:r>
          <a:r>
            <a:rPr lang="en-US" sz="1100" b="0" u="none">
              <a:solidFill>
                <a:schemeClr val="tx1"/>
              </a:solidFill>
            </a:rPr>
            <a:t>       18.2"              17.1"</a:t>
          </a:r>
        </a:p>
        <a:p xmlns:a="http://schemas.openxmlformats.org/drawingml/2006/main">
          <a:r>
            <a:rPr lang="en-US" sz="1100" b="1" u="none">
              <a:solidFill>
                <a:schemeClr val="tx1"/>
              </a:solidFill>
            </a:rPr>
            <a:t>%&gt;21"</a:t>
          </a:r>
          <a:r>
            <a:rPr lang="en-US" sz="1100" b="0" u="none">
              <a:solidFill>
                <a:schemeClr val="tx1"/>
              </a:solidFill>
            </a:rPr>
            <a:t>       14                    8</a:t>
          </a:r>
        </a:p>
        <a:p xmlns:a="http://schemas.openxmlformats.org/drawingml/2006/main">
          <a:r>
            <a:rPr lang="en-US" sz="1100" b="1" u="none">
              <a:solidFill>
                <a:schemeClr val="tx1"/>
              </a:solidFill>
            </a:rPr>
            <a:t>%&gt;24"</a:t>
          </a:r>
          <a:r>
            <a:rPr lang="en-US" sz="1100" b="0" u="none" baseline="-25000">
              <a:solidFill>
                <a:schemeClr val="tx1"/>
              </a:solidFill>
            </a:rPr>
            <a:t>             </a:t>
          </a:r>
          <a:r>
            <a:rPr lang="en-US" sz="1100" b="0" u="none">
              <a:solidFill>
                <a:schemeClr val="tx1"/>
              </a:solidFill>
            </a:rPr>
            <a:t>4                     3</a:t>
          </a:r>
        </a:p>
        <a:p xmlns:a="http://schemas.openxmlformats.org/drawingml/2006/main">
          <a:r>
            <a:rPr lang="en-US" sz="1100" b="1" u="none">
              <a:solidFill>
                <a:schemeClr val="tx1"/>
              </a:solidFill>
            </a:rPr>
            <a:t>%&gt;30"</a:t>
          </a:r>
          <a:r>
            <a:rPr lang="en-US" sz="1100" b="0" u="none" baseline="-25000">
              <a:solidFill>
                <a:schemeClr val="tx1"/>
              </a:solidFill>
            </a:rPr>
            <a:t>            </a:t>
          </a:r>
          <a:r>
            <a:rPr lang="en-US" sz="1100" b="0" u="none">
              <a:solidFill>
                <a:schemeClr val="tx1"/>
              </a:solidFill>
            </a:rPr>
            <a:t>&lt;1</a:t>
          </a:r>
          <a:r>
            <a:rPr lang="en-US" sz="1100" b="0" u="none" baseline="0">
              <a:solidFill>
                <a:schemeClr val="tx1"/>
              </a:solidFill>
            </a:rPr>
            <a:t>                   </a:t>
          </a:r>
          <a:r>
            <a:rPr lang="en-US" sz="1100" b="0" u="none">
              <a:solidFill>
                <a:schemeClr val="tx1"/>
              </a:solidFill>
            </a:rPr>
            <a:t>&lt;1</a:t>
          </a:r>
        </a:p>
      </cdr:txBody>
    </cdr:sp>
  </cdr:relSizeAnchor>
</c:userShapes>
</file>

<file path=word/drawings/drawing2.xml><?xml version="1.0" encoding="utf-8"?>
<c:userShapes xmlns:c="http://schemas.openxmlformats.org/drawingml/2006/chart">
  <cdr:relSizeAnchor xmlns:cdr="http://schemas.openxmlformats.org/drawingml/2006/chartDrawing">
    <cdr:from>
      <cdr:x>0.61208</cdr:x>
      <cdr:y>0.16339</cdr:y>
    </cdr:from>
    <cdr:to>
      <cdr:x>0.96922</cdr:x>
      <cdr:y>0.52606</cdr:y>
    </cdr:to>
    <cdr:sp macro="" textlink="">
      <cdr:nvSpPr>
        <cdr:cNvPr id="2" name="TextBox 1"/>
        <cdr:cNvSpPr txBox="1"/>
      </cdr:nvSpPr>
      <cdr:spPr>
        <a:xfrm xmlns:a="http://schemas.openxmlformats.org/drawingml/2006/main">
          <a:off x="3132298" y="535467"/>
          <a:ext cx="1827651" cy="118855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b="1" u="none" baseline="0">
              <a:solidFill>
                <a:schemeClr val="tx1"/>
              </a:solidFill>
            </a:rPr>
            <a:t>               </a:t>
          </a:r>
          <a:r>
            <a:rPr lang="en-US" sz="1100" b="1" u="sng">
              <a:solidFill>
                <a:schemeClr val="tx1"/>
              </a:solidFill>
            </a:rPr>
            <a:t>Pre-Reg</a:t>
          </a:r>
          <a:r>
            <a:rPr lang="en-US" sz="1100" b="1" u="none">
              <a:solidFill>
                <a:schemeClr val="tx1"/>
              </a:solidFill>
            </a:rPr>
            <a:t>          </a:t>
          </a:r>
          <a:r>
            <a:rPr lang="en-US" sz="1100" b="1" u="sng">
              <a:solidFill>
                <a:schemeClr val="tx1"/>
              </a:solidFill>
            </a:rPr>
            <a:t>Post-Reg</a:t>
          </a:r>
        </a:p>
        <a:p xmlns:a="http://schemas.openxmlformats.org/drawingml/2006/main">
          <a:r>
            <a:rPr lang="en-US" sz="1100" b="1" u="none">
              <a:solidFill>
                <a:schemeClr val="tx1"/>
              </a:solidFill>
            </a:rPr>
            <a:t>N</a:t>
          </a:r>
          <a:r>
            <a:rPr lang="en-US" sz="1100" b="0" u="none">
              <a:solidFill>
                <a:schemeClr val="tx1"/>
              </a:solidFill>
            </a:rPr>
            <a:t>                91</a:t>
          </a:r>
          <a:r>
            <a:rPr lang="en-US" sz="1100" b="0" u="none" baseline="0">
              <a:solidFill>
                <a:schemeClr val="tx1"/>
              </a:solidFill>
            </a:rPr>
            <a:t>                   101</a:t>
          </a:r>
          <a:endParaRPr lang="en-US" sz="1100" b="0" u="none">
            <a:solidFill>
              <a:schemeClr val="tx1"/>
            </a:solidFill>
          </a:endParaRPr>
        </a:p>
        <a:p xmlns:a="http://schemas.openxmlformats.org/drawingml/2006/main">
          <a:r>
            <a:rPr lang="en-US" sz="1100" b="1" u="none">
              <a:solidFill>
                <a:schemeClr val="tx1"/>
              </a:solidFill>
            </a:rPr>
            <a:t>Avg.TL</a:t>
          </a:r>
          <a:r>
            <a:rPr lang="en-US" sz="1100" b="0" u="none">
              <a:solidFill>
                <a:schemeClr val="tx1"/>
              </a:solidFill>
            </a:rPr>
            <a:t>       17.9"              17.4"</a:t>
          </a:r>
        </a:p>
        <a:p xmlns:a="http://schemas.openxmlformats.org/drawingml/2006/main">
          <a:r>
            <a:rPr lang="en-US" sz="1100" b="1" u="none">
              <a:solidFill>
                <a:schemeClr val="tx1"/>
              </a:solidFill>
            </a:rPr>
            <a:t>%&gt;21"</a:t>
          </a:r>
          <a:r>
            <a:rPr lang="en-US" sz="1100" b="0" u="none">
              <a:solidFill>
                <a:schemeClr val="tx1"/>
              </a:solidFill>
            </a:rPr>
            <a:t>       18                   26</a:t>
          </a:r>
        </a:p>
        <a:p xmlns:a="http://schemas.openxmlformats.org/drawingml/2006/main">
          <a:r>
            <a:rPr lang="en-US" sz="1100" b="1" u="none">
              <a:solidFill>
                <a:schemeClr val="tx1"/>
              </a:solidFill>
            </a:rPr>
            <a:t>%&gt;24"</a:t>
          </a:r>
          <a:r>
            <a:rPr lang="en-US" sz="1100" b="0" u="none" baseline="-25000">
              <a:solidFill>
                <a:schemeClr val="tx1"/>
              </a:solidFill>
            </a:rPr>
            <a:t>             </a:t>
          </a:r>
          <a:r>
            <a:rPr lang="en-US" sz="1100" b="0" u="none" baseline="0">
              <a:solidFill>
                <a:schemeClr val="tx1"/>
              </a:solidFill>
            </a:rPr>
            <a:t>7</a:t>
          </a:r>
          <a:r>
            <a:rPr lang="en-US" sz="1100" b="0" u="none">
              <a:solidFill>
                <a:schemeClr val="tx1"/>
              </a:solidFill>
            </a:rPr>
            <a:t>                    9</a:t>
          </a:r>
        </a:p>
        <a:p xmlns:a="http://schemas.openxmlformats.org/drawingml/2006/main">
          <a:r>
            <a:rPr lang="en-US" sz="1100" b="1" u="none">
              <a:solidFill>
                <a:schemeClr val="tx1"/>
              </a:solidFill>
            </a:rPr>
            <a:t>%&gt;30"</a:t>
          </a:r>
          <a:r>
            <a:rPr lang="en-US" sz="1100" b="0" u="none" baseline="0">
              <a:solidFill>
                <a:schemeClr val="tx1"/>
              </a:solidFill>
            </a:rPr>
            <a:t>         0                    1</a:t>
          </a:r>
          <a:endParaRPr lang="en-US" sz="1100" b="0" u="none">
            <a:solidFill>
              <a:schemeClr val="tx1"/>
            </a:solidFill>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Name of Lake - __________________</vt:lpstr>
    </vt:vector>
  </TitlesOfParts>
  <Company>Minnesota Dept. of Natural Resources</Company>
  <LinksUpToDate>false</LinksUpToDate>
  <CharactersWithSpaces>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Lake - __________________</dc:title>
  <dc:creator>MNDNR</dc:creator>
  <cp:lastModifiedBy>Joe Stewig</cp:lastModifiedBy>
  <cp:revision>6</cp:revision>
  <cp:lastPrinted>2018-09-19T19:16:00Z</cp:lastPrinted>
  <dcterms:created xsi:type="dcterms:W3CDTF">2018-09-07T19:38:00Z</dcterms:created>
  <dcterms:modified xsi:type="dcterms:W3CDTF">2018-09-24T19:18:00Z</dcterms:modified>
</cp:coreProperties>
</file>